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480" w:firstLineChars="100"/>
        <w:rPr>
          <w:rFonts w:ascii="宋体" w:hAnsi="宋体" w:eastAsia="宋体" w:cs="Times New Roman"/>
          <w:b/>
          <w:sz w:val="48"/>
          <w:szCs w:val="48"/>
        </w:rPr>
      </w:pPr>
      <w:r>
        <w:rPr>
          <w:rFonts w:hint="eastAsia" w:ascii="宋体" w:hAnsi="宋体" w:eastAsia="宋体" w:cs="Times New Roman"/>
          <w:b/>
          <w:sz w:val="48"/>
          <w:szCs w:val="48"/>
        </w:rPr>
        <w:t>连锁经营管理专业（新零售店总方向）</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人</w:t>
      </w:r>
    </w:p>
    <w:p>
      <w:pPr>
        <w:adjustRightInd w:val="0"/>
        <w:snapToGrid w:val="0"/>
        <w:spacing w:line="360" w:lineRule="auto"/>
        <w:ind w:firstLine="4200" w:firstLineChars="500"/>
        <w:rPr>
          <w:rFonts w:ascii="宋体" w:hAnsi="宋体" w:eastAsia="宋体" w:cs="Times New Roman"/>
          <w:b/>
          <w:sz w:val="84"/>
          <w:szCs w:val="84"/>
        </w:rPr>
      </w:pPr>
      <w:r>
        <w:rPr>
          <w:rFonts w:hint="eastAsia" w:ascii="宋体" w:hAnsi="宋体" w:eastAsia="宋体" w:cs="Times New Roman"/>
          <w:b/>
          <w:sz w:val="84"/>
          <w:szCs w:val="84"/>
        </w:rPr>
        <w:t>才</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培</w:t>
      </w:r>
    </w:p>
    <w:p>
      <w:pPr>
        <w:adjustRightInd w:val="0"/>
        <w:snapToGrid w:val="0"/>
        <w:spacing w:line="360" w:lineRule="auto"/>
        <w:ind w:firstLine="823" w:firstLineChars="98"/>
        <w:jc w:val="center"/>
        <w:rPr>
          <w:rFonts w:ascii="宋体" w:hAnsi="宋体" w:eastAsia="宋体" w:cs="Times New Roman"/>
          <w:b/>
          <w:sz w:val="84"/>
          <w:szCs w:val="84"/>
        </w:rPr>
      </w:pPr>
      <w:r>
        <w:rPr>
          <w:rFonts w:hint="eastAsia" w:ascii="宋体" w:hAnsi="宋体" w:eastAsia="宋体" w:cs="Times New Roman"/>
          <w:b/>
          <w:sz w:val="84"/>
          <w:szCs w:val="84"/>
        </w:rPr>
        <w:t>养</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方</w:t>
      </w:r>
    </w:p>
    <w:p>
      <w:pPr>
        <w:adjustRightInd w:val="0"/>
        <w:snapToGrid w:val="0"/>
        <w:spacing w:line="360" w:lineRule="auto"/>
        <w:ind w:firstLine="823" w:firstLineChars="98"/>
        <w:jc w:val="center"/>
        <w:rPr>
          <w:rFonts w:ascii="宋体" w:hAnsi="宋体" w:eastAsia="宋体" w:cs="Times New Roman"/>
          <w:b/>
          <w:sz w:val="84"/>
          <w:szCs w:val="84"/>
        </w:rPr>
      </w:pPr>
      <w:r>
        <w:rPr>
          <w:rFonts w:hint="eastAsia" w:ascii="宋体" w:hAnsi="宋体" w:eastAsia="宋体" w:cs="Times New Roman"/>
          <w:b/>
          <w:sz w:val="84"/>
          <w:szCs w:val="84"/>
        </w:rPr>
        <w:t>案</w:t>
      </w:r>
    </w:p>
    <w:p>
      <w:pPr>
        <w:adjustRightInd w:val="0"/>
        <w:snapToGrid w:val="0"/>
        <w:spacing w:line="360" w:lineRule="auto"/>
        <w:ind w:firstLine="2640" w:firstLineChars="600"/>
        <w:rPr>
          <w:rFonts w:ascii="宋体" w:hAnsi="宋体" w:eastAsia="宋体" w:cs="Times New Roman"/>
          <w:b/>
          <w:sz w:val="44"/>
          <w:szCs w:val="44"/>
        </w:rPr>
      </w:pPr>
    </w:p>
    <w:p>
      <w:pPr>
        <w:adjustRightInd w:val="0"/>
        <w:snapToGrid w:val="0"/>
        <w:spacing w:line="360" w:lineRule="auto"/>
        <w:ind w:firstLine="2640" w:firstLineChars="600"/>
        <w:rPr>
          <w:rFonts w:ascii="宋体" w:hAnsi="宋体" w:eastAsia="宋体" w:cs="Times New Roman"/>
          <w:b/>
          <w:sz w:val="44"/>
          <w:szCs w:val="44"/>
        </w:rPr>
      </w:pPr>
      <w:r>
        <w:rPr>
          <w:rFonts w:hint="eastAsia" w:ascii="宋体" w:hAnsi="宋体" w:eastAsia="宋体" w:cs="Times New Roman"/>
          <w:b/>
          <w:sz w:val="44"/>
          <w:szCs w:val="44"/>
        </w:rPr>
        <w:t>安徽工商职业学院</w:t>
      </w:r>
    </w:p>
    <w:p>
      <w:pPr>
        <w:jc w:val="center"/>
        <w:rPr>
          <w:rFonts w:ascii="宋体" w:hAnsi="宋体" w:eastAsia="宋体" w:cs="Times New Roman"/>
          <w:b/>
          <w:sz w:val="44"/>
          <w:szCs w:val="44"/>
        </w:rPr>
      </w:pPr>
      <w:r>
        <w:rPr>
          <w:rFonts w:hint="eastAsia" w:ascii="宋体" w:hAnsi="宋体" w:eastAsia="宋体" w:cs="Times New Roman"/>
          <w:b/>
          <w:sz w:val="44"/>
          <w:szCs w:val="44"/>
        </w:rPr>
        <mc:AlternateContent>
          <mc:Choice Requires="wps">
            <w:drawing>
              <wp:anchor distT="0" distB="0" distL="114300" distR="114300" simplePos="0" relativeHeight="251659264" behindDoc="0" locked="0" layoutInCell="1" allowOverlap="1">
                <wp:simplePos x="0" y="0"/>
                <wp:positionH relativeFrom="column">
                  <wp:posOffset>2286000</wp:posOffset>
                </wp:positionH>
                <wp:positionV relativeFrom="paragraph">
                  <wp:posOffset>891540</wp:posOffset>
                </wp:positionV>
                <wp:extent cx="800100" cy="594360"/>
                <wp:effectExtent l="9525" t="5715" r="9525" b="95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800100" cy="59436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80pt;margin-top:70.2pt;height:46.8pt;width:63pt;z-index:251659264;mso-width-relative:page;mso-height-relative:page;" fillcolor="#FFFFFF" filled="t" stroked="t" coordsize="21600,21600" o:gfxdata="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K5CA71wAAAAsBAAAPAAAAAAAA&#10;AAEAIAAAACIAAABkcnMvZG93bnJldi54bWxQSwECFAAUAAAACACHTuJAv+5NRxMCAAAgBAAADgAA&#10;AAAAAAABACAAAAAmAQAAZHJzL2Uyb0RvYy54bWxQSwUGAAAAAAYABgBZAQAAqwUAAAAA&#10;">
                <v:fill on="t" focussize="0,0"/>
                <v:stroke color="#FFFFFF" miterlimit="8" joinstyle="miter"/>
                <v:imagedata o:title=""/>
                <o:lock v:ext="edit" aspectratio="f"/>
              </v:rect>
            </w:pict>
          </mc:Fallback>
        </mc:AlternateContent>
      </w:r>
      <w:r>
        <w:rPr>
          <w:rFonts w:hint="eastAsia" w:ascii="宋体" w:hAnsi="宋体" w:eastAsia="宋体" w:cs="Times New Roman"/>
          <w:b/>
          <w:sz w:val="44"/>
          <w:szCs w:val="44"/>
          <w:lang w:val="en-US" w:eastAsia="zh-CN"/>
        </w:rPr>
        <w:t xml:space="preserve">   </w:t>
      </w:r>
      <w:r>
        <w:rPr>
          <w:rFonts w:hint="eastAsia" w:ascii="宋体" w:hAnsi="宋体" w:eastAsia="宋体" w:cs="Times New Roman"/>
          <w:b/>
          <w:sz w:val="44"/>
          <w:szCs w:val="44"/>
        </w:rPr>
        <w:t>2019年</w:t>
      </w:r>
      <w:r>
        <w:rPr>
          <w:rFonts w:hint="eastAsia" w:ascii="宋体" w:hAnsi="宋体" w:eastAsia="宋体" w:cs="Times New Roman"/>
          <w:b/>
          <w:sz w:val="44"/>
          <w:szCs w:val="44"/>
          <w:lang w:val="en-US" w:eastAsia="zh-CN"/>
        </w:rPr>
        <w:t>9</w:t>
      </w:r>
      <w:r>
        <w:rPr>
          <w:rFonts w:hint="eastAsia" w:ascii="宋体" w:hAnsi="宋体" w:eastAsia="宋体" w:cs="Times New Roman"/>
          <w:b/>
          <w:sz w:val="44"/>
          <w:szCs w:val="44"/>
        </w:rPr>
        <w:t>月8日</w:t>
      </w:r>
    </w:p>
    <w:p>
      <w:pPr>
        <w:ind w:firstLine="3520" w:firstLineChars="800"/>
        <w:rPr>
          <w:rFonts w:ascii="宋体" w:hAnsi="宋体" w:eastAsia="宋体" w:cs="Times New Roman"/>
          <w:b/>
          <w:sz w:val="44"/>
          <w:szCs w:val="44"/>
        </w:rPr>
      </w:pPr>
    </w:p>
    <w:p>
      <w:pPr>
        <w:spacing w:line="500" w:lineRule="exact"/>
        <w:jc w:val="center"/>
        <w:rPr>
          <w:rFonts w:hint="eastAsia" w:ascii="Times New Roman" w:hAnsi="Times New Roman" w:eastAsia="宋体" w:cs="Times New Roman"/>
          <w:b/>
          <w:sz w:val="44"/>
          <w:szCs w:val="44"/>
        </w:rPr>
      </w:pPr>
    </w:p>
    <w:sdt>
      <w:sdtPr>
        <w:rPr>
          <w:rFonts w:ascii="宋体" w:hAnsi="宋体" w:eastAsia="宋体" w:cstheme="minorBidi"/>
          <w:b/>
          <w:bCs/>
          <w:kern w:val="2"/>
          <w:sz w:val="52"/>
          <w:szCs w:val="52"/>
          <w:lang w:val="en-US" w:eastAsia="zh-CN" w:bidi="ar-SA"/>
        </w:rPr>
        <w:id w:val="147475331"/>
        <w15:color w:val="DBDBDB"/>
        <w:docPartObj>
          <w:docPartGallery w:val="Table of Contents"/>
          <w:docPartUnique/>
        </w:docPartObj>
      </w:sdtPr>
      <w:sdtEndPr>
        <w:rPr>
          <w:rFonts w:ascii="宋体" w:hAnsi="宋体" w:eastAsia="宋体" w:cstheme="minorBidi"/>
          <w:b/>
          <w:bCs/>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b/>
              <w:bCs/>
              <w:sz w:val="52"/>
              <w:szCs w:val="52"/>
            </w:rPr>
          </w:pPr>
          <w:bookmarkStart w:id="0" w:name="_Toc6659_WPSOffice_Type1"/>
          <w:r>
            <w:rPr>
              <w:rFonts w:ascii="宋体" w:hAnsi="宋体" w:eastAsia="宋体"/>
              <w:b/>
              <w:bCs/>
              <w:sz w:val="52"/>
              <w:szCs w:val="52"/>
            </w:rPr>
            <w:t>目录</w:t>
          </w:r>
        </w:p>
        <w:p>
          <w:pPr>
            <w:pStyle w:val="39"/>
            <w:tabs>
              <w:tab w:val="right" w:leader="dot" w:pos="8312"/>
            </w:tabs>
            <w:spacing w:line="480" w:lineRule="auto"/>
            <w:jc w:val="center"/>
            <w:rPr>
              <w:b/>
              <w:bCs/>
              <w:sz w:val="24"/>
              <w:szCs w:val="24"/>
            </w:rPr>
          </w:pPr>
        </w:p>
        <w:p>
          <w:pPr>
            <w:pStyle w:val="39"/>
            <w:tabs>
              <w:tab w:val="right" w:leader="dot" w:pos="8312"/>
            </w:tabs>
            <w:spacing w:line="480" w:lineRule="auto"/>
            <w:jc w:val="center"/>
            <w:rPr>
              <w:b/>
              <w:bCs/>
              <w:sz w:val="24"/>
              <w:szCs w:val="24"/>
            </w:rPr>
          </w:pPr>
          <w:r>
            <w:rPr>
              <w:b/>
              <w:bCs/>
              <w:sz w:val="24"/>
              <w:szCs w:val="24"/>
            </w:rPr>
            <w:fldChar w:fldCharType="begin"/>
          </w:r>
          <w:r>
            <w:rPr>
              <w:b/>
              <w:bCs/>
              <w:sz w:val="24"/>
              <w:szCs w:val="24"/>
            </w:rPr>
            <w:instrText xml:space="preserve"> HYPERLINK \l _Toc9360_WPSOffice_Level1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ab897e1e-ff9c-44dc-b951-c9ce1b3dca79}"/>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ascii="宋体" w:hAnsi="宋体" w:eastAsia="宋体" w:cs="宋体"/>
                  <w:b/>
                  <w:bCs/>
                  <w:sz w:val="24"/>
                  <w:szCs w:val="24"/>
                </w:rPr>
                <w:t>社会扩招人员高职</w:t>
              </w:r>
              <w:r>
                <w:rPr>
                  <w:rFonts w:hint="eastAsia" w:ascii="宋体" w:hAnsi="宋体" w:eastAsia="宋体" w:cs="Times New Roman"/>
                  <w:b/>
                  <w:bCs/>
                  <w:sz w:val="24"/>
                  <w:szCs w:val="24"/>
                </w:rPr>
                <w:t>连锁经营管理</w:t>
              </w:r>
              <w:r>
                <w:rPr>
                  <w:rFonts w:ascii="宋体" w:hAnsi="宋体" w:eastAsia="宋体" w:cs="Times New Roman"/>
                  <w:b/>
                  <w:bCs/>
                  <w:sz w:val="24"/>
                  <w:szCs w:val="24"/>
                </w:rPr>
                <w:t>专业</w:t>
              </w:r>
              <w:r>
                <w:rPr>
                  <w:rFonts w:hint="eastAsia" w:ascii="宋体" w:hAnsi="宋体" w:eastAsia="宋体" w:cs="Times New Roman"/>
                  <w:b/>
                  <w:bCs/>
                  <w:sz w:val="24"/>
                  <w:szCs w:val="24"/>
                </w:rPr>
                <w:t>人才培养方案</w:t>
              </w:r>
            </w:sdtContent>
          </w:sdt>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_Toc6659_WPSOffice_Level1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114a5487-05e9-4537-a912-b4f2cf90edeb}"/>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eastAsia="宋体" w:asciiTheme="minorAscii" w:hAnsiTheme="minorAscii" w:cstheme="minorBidi"/>
                  <w:b/>
                  <w:bCs/>
                  <w:sz w:val="24"/>
                  <w:szCs w:val="24"/>
                </w:rPr>
                <w:t>一、专业名称</w:t>
              </w:r>
              <w:r>
                <w:rPr>
                  <w:rFonts w:hint="eastAsia" w:eastAsia="宋体" w:asciiTheme="minorAscii" w:hAnsiTheme="minorAscii" w:cstheme="minorBidi"/>
                  <w:b/>
                  <w:bCs/>
                  <w:sz w:val="24"/>
                  <w:szCs w:val="24"/>
                </w:rPr>
                <w:t>及</w:t>
              </w:r>
              <w:r>
                <w:rPr>
                  <w:rFonts w:eastAsia="宋体" w:asciiTheme="minorAscii" w:hAnsiTheme="minorAscii" w:cstheme="minorBidi"/>
                  <w:b/>
                  <w:bCs/>
                  <w:sz w:val="24"/>
                  <w:szCs w:val="24"/>
                </w:rPr>
                <w:t>专业代码</w:t>
              </w:r>
            </w:sdtContent>
          </w:sdt>
          <w:r>
            <w:rPr>
              <w:b/>
              <w:bCs/>
              <w:sz w:val="24"/>
              <w:szCs w:val="24"/>
            </w:rPr>
            <w:tab/>
          </w:r>
          <w:bookmarkStart w:id="1" w:name="_Toc6659_WPSOffice_Level1Page"/>
          <w:r>
            <w:rPr>
              <w:b/>
              <w:bCs/>
              <w:sz w:val="24"/>
              <w:szCs w:val="24"/>
            </w:rPr>
            <w:t>1</w:t>
          </w:r>
          <w:bookmarkEnd w:id="1"/>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_Toc13253_WPSOffice_Level1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cce8f39e-3692-429b-a928-d5172110d52a}"/>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eastAsia="宋体" w:asciiTheme="minorAscii" w:hAnsiTheme="minorAscii" w:cstheme="minorBidi"/>
                  <w:b/>
                  <w:bCs/>
                  <w:sz w:val="24"/>
                  <w:szCs w:val="24"/>
                </w:rPr>
                <w:t>二、</w:t>
              </w:r>
              <w:r>
                <w:rPr>
                  <w:rFonts w:hint="eastAsia" w:eastAsia="宋体" w:asciiTheme="minorAscii" w:hAnsiTheme="minorAscii" w:cstheme="minorBidi"/>
                  <w:b/>
                  <w:bCs/>
                  <w:sz w:val="24"/>
                  <w:szCs w:val="24"/>
                </w:rPr>
                <w:t>招生对象</w:t>
              </w:r>
            </w:sdtContent>
          </w:sdt>
          <w:r>
            <w:rPr>
              <w:b/>
              <w:bCs/>
              <w:sz w:val="24"/>
              <w:szCs w:val="24"/>
            </w:rPr>
            <w:tab/>
          </w:r>
          <w:bookmarkStart w:id="2" w:name="_Toc13253_WPSOffice_Level1Page"/>
          <w:r>
            <w:rPr>
              <w:b/>
              <w:bCs/>
              <w:sz w:val="24"/>
              <w:szCs w:val="24"/>
            </w:rPr>
            <w:t>1</w:t>
          </w:r>
          <w:bookmarkEnd w:id="2"/>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_Toc10477_WPSOffice_Level1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bf865e6-ccc0-4845-984c-2e3326b8f31f}"/>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三、基本学制与学历</w:t>
              </w:r>
            </w:sdtContent>
          </w:sdt>
          <w:r>
            <w:rPr>
              <w:b/>
              <w:bCs/>
              <w:sz w:val="24"/>
              <w:szCs w:val="24"/>
            </w:rPr>
            <w:tab/>
          </w:r>
          <w:bookmarkStart w:id="3" w:name="_Toc10477_WPSOffice_Level1Page"/>
          <w:r>
            <w:rPr>
              <w:b/>
              <w:bCs/>
              <w:sz w:val="24"/>
              <w:szCs w:val="24"/>
            </w:rPr>
            <w:t>1</w:t>
          </w:r>
          <w:bookmarkEnd w:id="3"/>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_Toc16865_WPSOffice_Level1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7bc6c3b-df54-49b8-99ab-8a674f7c70b8}"/>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四</w:t>
              </w:r>
              <w:r>
                <w:rPr>
                  <w:rFonts w:eastAsia="宋体" w:asciiTheme="minorAscii" w:hAnsiTheme="minorAscii" w:cstheme="minorBidi"/>
                  <w:b/>
                  <w:bCs/>
                  <w:sz w:val="24"/>
                  <w:szCs w:val="24"/>
                </w:rPr>
                <w:t>、培养目标</w:t>
              </w:r>
            </w:sdtContent>
          </w:sdt>
          <w:r>
            <w:rPr>
              <w:b/>
              <w:bCs/>
              <w:sz w:val="24"/>
              <w:szCs w:val="24"/>
            </w:rPr>
            <w:tab/>
          </w:r>
          <w:bookmarkStart w:id="4" w:name="_Toc16865_WPSOffice_Level1Page"/>
          <w:r>
            <w:rPr>
              <w:b/>
              <w:bCs/>
              <w:sz w:val="24"/>
              <w:szCs w:val="24"/>
            </w:rPr>
            <w:t>1</w:t>
          </w:r>
          <w:bookmarkEnd w:id="4"/>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_Toc3762_WPSOffice_Level1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d9425eee-a831-4a9d-a5fa-2fc175254904}"/>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五、培养方式</w:t>
              </w:r>
            </w:sdtContent>
          </w:sdt>
          <w:r>
            <w:rPr>
              <w:b/>
              <w:bCs/>
              <w:sz w:val="24"/>
              <w:szCs w:val="24"/>
            </w:rPr>
            <w:tab/>
          </w:r>
          <w:bookmarkStart w:id="5" w:name="_Toc3762_WPSOffice_Level1Page"/>
          <w:r>
            <w:rPr>
              <w:b/>
              <w:bCs/>
              <w:sz w:val="24"/>
              <w:szCs w:val="24"/>
            </w:rPr>
            <w:t>2</w:t>
          </w:r>
          <w:bookmarkEnd w:id="5"/>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_Toc7781_WPSOffice_Level1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b238fd4-724e-448e-a826-f76f85f94f85}"/>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六</w:t>
              </w:r>
              <w:r>
                <w:rPr>
                  <w:rFonts w:eastAsia="宋体" w:asciiTheme="minorAscii" w:hAnsiTheme="minorAscii" w:cstheme="minorBidi"/>
                  <w:b/>
                  <w:bCs/>
                  <w:sz w:val="24"/>
                  <w:szCs w:val="24"/>
                </w:rPr>
                <w:t>、</w:t>
              </w:r>
              <w:r>
                <w:rPr>
                  <w:rFonts w:hint="eastAsia" w:eastAsia="宋体" w:asciiTheme="minorAscii" w:hAnsiTheme="minorAscii" w:cstheme="minorBidi"/>
                  <w:b/>
                  <w:bCs/>
                  <w:sz w:val="24"/>
                  <w:szCs w:val="24"/>
                </w:rPr>
                <w:t>职业范围</w:t>
              </w:r>
            </w:sdtContent>
          </w:sdt>
          <w:r>
            <w:rPr>
              <w:b/>
              <w:bCs/>
              <w:sz w:val="24"/>
              <w:szCs w:val="24"/>
            </w:rPr>
            <w:tab/>
          </w:r>
          <w:bookmarkStart w:id="6" w:name="_Toc7781_WPSOffice_Level1Page"/>
          <w:r>
            <w:rPr>
              <w:b/>
              <w:bCs/>
              <w:sz w:val="24"/>
              <w:szCs w:val="24"/>
            </w:rPr>
            <w:t>2</w:t>
          </w:r>
          <w:bookmarkEnd w:id="6"/>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_Toc5445_WPSOffice_Level1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41923689-03a4-4516-ba06-c9b6c376e3ee}"/>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七、人才</w:t>
              </w:r>
              <w:r>
                <w:rPr>
                  <w:rFonts w:eastAsia="宋体" w:asciiTheme="minorAscii" w:hAnsiTheme="minorAscii" w:cstheme="minorBidi"/>
                  <w:b/>
                  <w:bCs/>
                  <w:sz w:val="24"/>
                  <w:szCs w:val="24"/>
                </w:rPr>
                <w:t>规格</w:t>
              </w:r>
            </w:sdtContent>
          </w:sdt>
          <w:r>
            <w:rPr>
              <w:b/>
              <w:bCs/>
              <w:sz w:val="24"/>
              <w:szCs w:val="24"/>
            </w:rPr>
            <w:tab/>
          </w:r>
          <w:bookmarkStart w:id="7" w:name="_Toc5445_WPSOffice_Level1Page"/>
          <w:r>
            <w:rPr>
              <w:b/>
              <w:bCs/>
              <w:sz w:val="24"/>
              <w:szCs w:val="24"/>
            </w:rPr>
            <w:t>4</w:t>
          </w:r>
          <w:bookmarkEnd w:id="7"/>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_Toc25961_WPSOffice_Level1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7e3be504-3df0-4854-9b78-9fe0bb35a215}"/>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八、典型工作任务及职业能力分析</w:t>
              </w:r>
            </w:sdtContent>
          </w:sdt>
          <w:r>
            <w:rPr>
              <w:b/>
              <w:bCs/>
              <w:sz w:val="24"/>
              <w:szCs w:val="24"/>
            </w:rPr>
            <w:tab/>
          </w:r>
          <w:bookmarkStart w:id="8" w:name="_Toc25961_WPSOffice_Level1Page"/>
          <w:r>
            <w:rPr>
              <w:b/>
              <w:bCs/>
              <w:sz w:val="24"/>
              <w:szCs w:val="24"/>
            </w:rPr>
            <w:t>6</w:t>
          </w:r>
          <w:bookmarkEnd w:id="8"/>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_Toc8870_WPSOffice_Level1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04340155-82b6-48d9-8955-b3ef6f0814cc}"/>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九、</w:t>
              </w:r>
              <w:r>
                <w:rPr>
                  <w:rFonts w:eastAsia="宋体" w:asciiTheme="minorAscii" w:hAnsiTheme="minorAscii" w:cstheme="minorBidi"/>
                  <w:b/>
                  <w:bCs/>
                  <w:sz w:val="24"/>
                  <w:szCs w:val="24"/>
                </w:rPr>
                <w:t>课程</w:t>
              </w:r>
              <w:r>
                <w:rPr>
                  <w:rFonts w:hint="eastAsia" w:eastAsia="宋体" w:asciiTheme="minorAscii" w:hAnsiTheme="minorAscii" w:cstheme="minorBidi"/>
                  <w:b/>
                  <w:bCs/>
                  <w:sz w:val="24"/>
                  <w:szCs w:val="24"/>
                </w:rPr>
                <w:t>结构</w:t>
              </w:r>
            </w:sdtContent>
          </w:sdt>
          <w:r>
            <w:rPr>
              <w:b/>
              <w:bCs/>
              <w:sz w:val="24"/>
              <w:szCs w:val="24"/>
            </w:rPr>
            <w:tab/>
          </w:r>
          <w:bookmarkStart w:id="9" w:name="_Toc8870_WPSOffice_Level1Page"/>
          <w:r>
            <w:rPr>
              <w:b/>
              <w:bCs/>
              <w:sz w:val="24"/>
              <w:szCs w:val="24"/>
            </w:rPr>
            <w:t>9</w:t>
          </w:r>
          <w:bookmarkEnd w:id="9"/>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_Toc15906_WPSOffice_Level1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8da99957-1dcb-4db5-b4a1-b8230426e1b6}"/>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十、课程内容</w:t>
              </w:r>
            </w:sdtContent>
          </w:sdt>
          <w:r>
            <w:rPr>
              <w:b/>
              <w:bCs/>
              <w:sz w:val="24"/>
              <w:szCs w:val="24"/>
            </w:rPr>
            <w:tab/>
          </w:r>
          <w:bookmarkStart w:id="10" w:name="_Toc15906_WPSOffice_Level1Page"/>
          <w:r>
            <w:rPr>
              <w:b/>
              <w:bCs/>
              <w:sz w:val="24"/>
              <w:szCs w:val="24"/>
            </w:rPr>
            <w:t>9</w:t>
          </w:r>
          <w:bookmarkEnd w:id="10"/>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_Toc7556_WPSOffice_Level1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c9aeb4b-e8c8-45fe-a771-346026b4442d}"/>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十一、教学安排</w:t>
              </w:r>
            </w:sdtContent>
          </w:sdt>
          <w:r>
            <w:rPr>
              <w:b/>
              <w:bCs/>
              <w:sz w:val="24"/>
              <w:szCs w:val="24"/>
            </w:rPr>
            <w:tab/>
          </w:r>
          <w:bookmarkStart w:id="11" w:name="_Toc7556_WPSOffice_Level1Page"/>
          <w:r>
            <w:rPr>
              <w:b/>
              <w:bCs/>
              <w:sz w:val="24"/>
              <w:szCs w:val="24"/>
            </w:rPr>
            <w:t>17</w:t>
          </w:r>
          <w:bookmarkEnd w:id="11"/>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_Toc10130_WPSOffice_Level1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5ce09ba-cd5b-445e-93e6-3b26fdec2d0b}"/>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十二</w:t>
              </w:r>
              <w:r>
                <w:rPr>
                  <w:rFonts w:eastAsia="宋体" w:asciiTheme="minorAscii" w:hAnsiTheme="minorAscii" w:cstheme="minorBidi"/>
                  <w:b/>
                  <w:bCs/>
                  <w:sz w:val="24"/>
                  <w:szCs w:val="24"/>
                </w:rPr>
                <w:t>、</w:t>
              </w:r>
              <w:r>
                <w:rPr>
                  <w:rFonts w:hint="eastAsia" w:eastAsia="宋体" w:asciiTheme="minorAscii" w:hAnsiTheme="minorAscii" w:cstheme="minorBidi"/>
                  <w:b/>
                  <w:bCs/>
                  <w:sz w:val="24"/>
                  <w:szCs w:val="24"/>
                </w:rPr>
                <w:t>教学基本</w:t>
              </w:r>
              <w:r>
                <w:rPr>
                  <w:rFonts w:eastAsia="宋体" w:asciiTheme="minorAscii" w:hAnsiTheme="minorAscii" w:cstheme="minorBidi"/>
                  <w:b/>
                  <w:bCs/>
                  <w:sz w:val="24"/>
                  <w:szCs w:val="24"/>
                </w:rPr>
                <w:t>条件</w:t>
              </w:r>
            </w:sdtContent>
          </w:sdt>
          <w:r>
            <w:rPr>
              <w:b/>
              <w:bCs/>
              <w:sz w:val="24"/>
              <w:szCs w:val="24"/>
            </w:rPr>
            <w:tab/>
          </w:r>
          <w:bookmarkStart w:id="12" w:name="_Toc10130_WPSOffice_Level1Page"/>
          <w:r>
            <w:rPr>
              <w:b/>
              <w:bCs/>
              <w:sz w:val="24"/>
              <w:szCs w:val="24"/>
            </w:rPr>
            <w:t>20</w:t>
          </w:r>
          <w:bookmarkEnd w:id="12"/>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_Toc6072_WPSOffice_Level1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91f67bc5-9339-4804-a4f5-8c68a61f9499}"/>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ascii="宋体" w:hAnsi="宋体" w:eastAsia="宋体" w:cs="Times New Roman"/>
                  <w:b/>
                  <w:bCs/>
                  <w:sz w:val="24"/>
                  <w:szCs w:val="24"/>
                </w:rPr>
                <w:t>十三、教学实施建议</w:t>
              </w:r>
            </w:sdtContent>
          </w:sdt>
          <w:r>
            <w:rPr>
              <w:b/>
              <w:bCs/>
              <w:sz w:val="24"/>
              <w:szCs w:val="24"/>
            </w:rPr>
            <w:tab/>
          </w:r>
          <w:bookmarkStart w:id="13" w:name="_Toc6072_WPSOffice_Level1Page"/>
          <w:r>
            <w:rPr>
              <w:b/>
              <w:bCs/>
              <w:sz w:val="24"/>
              <w:szCs w:val="24"/>
            </w:rPr>
            <w:t>23</w:t>
          </w:r>
          <w:bookmarkEnd w:id="13"/>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_Toc18307_WPSOffice_Level1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916c93d-a404-45cc-89cb-1e9a1a0f8c61}"/>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附录：开发团队</w:t>
              </w:r>
            </w:sdtContent>
          </w:sdt>
          <w:r>
            <w:rPr>
              <w:b/>
              <w:bCs/>
              <w:sz w:val="24"/>
              <w:szCs w:val="24"/>
            </w:rPr>
            <w:tab/>
          </w:r>
          <w:bookmarkStart w:id="14" w:name="_Toc18307_WPSOffice_Level1Page"/>
          <w:r>
            <w:rPr>
              <w:b/>
              <w:bCs/>
              <w:sz w:val="24"/>
              <w:szCs w:val="24"/>
            </w:rPr>
            <w:t>25</w:t>
          </w:r>
          <w:bookmarkEnd w:id="14"/>
          <w:r>
            <w:rPr>
              <w:b/>
              <w:bCs/>
              <w:sz w:val="24"/>
              <w:szCs w:val="24"/>
            </w:rPr>
            <w:fldChar w:fldCharType="end"/>
          </w:r>
          <w:bookmarkEnd w:id="0"/>
        </w:p>
      </w:sdtContent>
    </w:sdt>
    <w:p>
      <w:pPr>
        <w:adjustRightInd w:val="0"/>
        <w:snapToGrid w:val="0"/>
        <w:spacing w:line="360" w:lineRule="auto"/>
        <w:ind w:firstLine="1760" w:firstLineChars="400"/>
        <w:rPr>
          <w:rFonts w:ascii="宋体" w:hAnsi="宋体" w:eastAsia="宋体" w:cs="宋体"/>
          <w:b/>
          <w:sz w:val="44"/>
          <w:szCs w:val="44"/>
        </w:rPr>
      </w:pPr>
    </w:p>
    <w:p>
      <w:pPr>
        <w:adjustRightInd w:val="0"/>
        <w:snapToGrid w:val="0"/>
        <w:spacing w:line="360" w:lineRule="auto"/>
        <w:ind w:firstLine="1760" w:firstLineChars="400"/>
        <w:rPr>
          <w:rFonts w:ascii="宋体" w:hAnsi="宋体" w:eastAsia="宋体" w:cs="宋体"/>
          <w:b/>
          <w:sz w:val="44"/>
          <w:szCs w:val="44"/>
        </w:rPr>
      </w:pPr>
    </w:p>
    <w:p>
      <w:pPr>
        <w:pageBreakBefore w:val="0"/>
        <w:kinsoku/>
        <w:wordWrap/>
        <w:overflowPunct/>
        <w:topLinePunct w:val="0"/>
        <w:bidi w:val="0"/>
        <w:adjustRightInd w:val="0"/>
        <w:snapToGrid w:val="0"/>
        <w:spacing w:line="360" w:lineRule="auto"/>
        <w:ind w:left="0" w:leftChars="0"/>
        <w:jc w:val="center"/>
        <w:textAlignment w:val="auto"/>
        <w:rPr>
          <w:rFonts w:hint="eastAsia" w:ascii="宋体" w:hAnsi="宋体" w:eastAsia="宋体" w:cs="宋体"/>
          <w:b/>
          <w:sz w:val="36"/>
          <w:szCs w:val="36"/>
          <w:lang w:eastAsia="zh-CN"/>
        </w:rPr>
        <w:sectPr>
          <w:footerReference r:id="rId5" w:type="first"/>
          <w:footerReference r:id="rId3" w:type="default"/>
          <w:footerReference r:id="rId4" w:type="even"/>
          <w:pgSz w:w="11906" w:h="16838"/>
          <w:pgMar w:top="1440" w:right="1797" w:bottom="1440" w:left="1797" w:header="851" w:footer="1191" w:gutter="0"/>
          <w:pgNumType w:start="0"/>
          <w:cols w:space="720" w:num="1"/>
          <w:docGrid w:type="linesAndChars" w:linePitch="312" w:charSpace="0"/>
        </w:sectPr>
      </w:pP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36"/>
          <w:szCs w:val="36"/>
        </w:rPr>
      </w:pPr>
      <w:bookmarkStart w:id="15" w:name="_Toc9360_WPSOffice_Level1"/>
      <w:r>
        <w:rPr>
          <w:rFonts w:hint="eastAsia" w:ascii="宋体" w:hAnsi="宋体" w:eastAsia="宋体" w:cs="宋体"/>
          <w:b/>
          <w:sz w:val="36"/>
          <w:szCs w:val="36"/>
          <w:lang w:eastAsia="zh-CN"/>
        </w:rPr>
        <w:t>社会扩招人员</w:t>
      </w:r>
      <w:r>
        <w:rPr>
          <w:rFonts w:hint="eastAsia" w:ascii="宋体" w:hAnsi="宋体" w:eastAsia="宋体" w:cs="宋体"/>
          <w:b/>
          <w:sz w:val="36"/>
          <w:szCs w:val="36"/>
        </w:rPr>
        <w:t>高职</w:t>
      </w:r>
      <w:r>
        <w:rPr>
          <w:rFonts w:hint="eastAsia" w:ascii="宋体" w:hAnsi="宋体" w:eastAsia="宋体" w:cs="Times New Roman"/>
          <w:b/>
          <w:sz w:val="36"/>
          <w:szCs w:val="36"/>
        </w:rPr>
        <w:t>连锁经营管理</w:t>
      </w:r>
      <w:r>
        <w:rPr>
          <w:rFonts w:ascii="宋体" w:hAnsi="宋体" w:eastAsia="宋体" w:cs="Times New Roman"/>
          <w:b/>
          <w:sz w:val="36"/>
          <w:szCs w:val="36"/>
        </w:rPr>
        <w:t>专业</w:t>
      </w:r>
      <w:r>
        <w:rPr>
          <w:rFonts w:hint="eastAsia" w:ascii="宋体" w:hAnsi="宋体" w:eastAsia="宋体" w:cs="Times New Roman"/>
          <w:b/>
          <w:sz w:val="36"/>
          <w:szCs w:val="36"/>
        </w:rPr>
        <w:t>人才培养方案</w:t>
      </w:r>
      <w:bookmarkEnd w:id="15"/>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6" w:name="_Toc6659_WPSOffice_Level1"/>
      <w:r>
        <w:t>一、专业名称</w:t>
      </w:r>
      <w:r>
        <w:rPr>
          <w:rFonts w:hint="eastAsia"/>
        </w:rPr>
        <w:t>及</w:t>
      </w:r>
      <w:r>
        <w:t>专业代码</w:t>
      </w:r>
      <w:bookmarkEnd w:id="16"/>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rPr>
        <w:t xml:space="preserve">连锁经营管理专业 （新零售店总方向）（专业代码630604）  </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7" w:name="_Toc13253_WPSOffice_Level1"/>
      <w:r>
        <w:t>二、</w:t>
      </w:r>
      <w:bookmarkStart w:id="18" w:name="_Toc518843878"/>
      <w:r>
        <w:rPr>
          <w:rFonts w:hint="eastAsia"/>
        </w:rPr>
        <w:t>招生对象</w:t>
      </w:r>
      <w:bookmarkEnd w:id="17"/>
      <w:bookmarkEnd w:id="18"/>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lang w:eastAsia="zh-CN"/>
        </w:rPr>
        <w:t>高中毕业生含中职</w:t>
      </w:r>
      <w:r>
        <w:rPr>
          <w:rFonts w:hint="eastAsia" w:ascii="宋体" w:hAnsi="宋体" w:eastAsia="宋体" w:cs="Times New Roman"/>
          <w:sz w:val="24"/>
          <w:szCs w:val="24"/>
        </w:rPr>
        <w:t>（不限专业、即无专业基础及工作经验限制）</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9" w:name="_Toc10477_WPSOffice_Level1"/>
      <w:r>
        <w:rPr>
          <w:rFonts w:hint="eastAsia"/>
        </w:rPr>
        <w:t>三、基本学制与学历</w:t>
      </w:r>
      <w:bookmarkEnd w:id="19"/>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一）学制</w:t>
      </w:r>
    </w:p>
    <w:p>
      <w:pPr>
        <w:pageBreakBefore w:val="0"/>
        <w:kinsoku/>
        <w:wordWrap/>
        <w:overflowPunct/>
        <w:topLinePunct w:val="0"/>
        <w:bidi w:val="0"/>
        <w:adjustRightInd w:val="0"/>
        <w:snapToGrid w:val="0"/>
        <w:spacing w:line="360" w:lineRule="auto"/>
        <w:ind w:left="0" w:leftChars="0" w:firstLine="720" w:firstLineChars="300"/>
        <w:textAlignment w:val="auto"/>
        <w:rPr>
          <w:rFonts w:hint="eastAsia" w:ascii="宋体" w:hAnsi="宋体" w:eastAsia="宋体" w:cs="Times New Roman"/>
          <w:sz w:val="24"/>
          <w:szCs w:val="24"/>
          <w:lang w:eastAsia="zh-CN"/>
        </w:rPr>
      </w:pPr>
      <w:r>
        <w:rPr>
          <w:rFonts w:ascii="宋体" w:hAnsi="宋体" w:eastAsia="宋体" w:cs="Times New Roman"/>
          <w:sz w:val="24"/>
          <w:szCs w:val="24"/>
        </w:rPr>
        <w:t>三年</w:t>
      </w:r>
      <w:r>
        <w:rPr>
          <w:rFonts w:hint="eastAsia" w:ascii="宋体" w:hAnsi="宋体" w:eastAsia="宋体" w:cs="Times New Roman"/>
          <w:sz w:val="24"/>
          <w:szCs w:val="24"/>
          <w:lang w:eastAsia="zh-CN"/>
        </w:rPr>
        <w:t>（弹性学制、工学交替）</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（二）学历</w:t>
      </w:r>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rPr>
        <w:t>学习合格取得专科学历</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0" w:name="_Toc16865_WPSOffice_Level1"/>
      <w:r>
        <w:rPr>
          <w:rFonts w:hint="eastAsia"/>
        </w:rPr>
        <w:t>四</w:t>
      </w:r>
      <w:r>
        <w:t>、培养目标</w:t>
      </w:r>
      <w:bookmarkEnd w:id="20"/>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本专业培养适应区域经济社会发展需要，具有创新精神，德、智、体全面发展，掌握连锁经营管理基础理论和专门知识，适应现代化、国际化连锁商业发展需要，熟悉连锁企业购销存业务工作流程和人、财、物、信息等方面管理基本技能，具有连锁企业门店经营管理能力，具备良好职业道德、较强的责任感和公关协调能力的高素质高技能人才。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1.</w:t>
      </w:r>
      <w:r>
        <w:rPr>
          <w:rFonts w:hint="eastAsia" w:ascii="宋体" w:hAnsi="宋体" w:eastAsia="宋体" w:cs="宋体"/>
          <w:kern w:val="0"/>
          <w:sz w:val="24"/>
          <w:szCs w:val="24"/>
          <w:lang w:eastAsia="zh-CN"/>
        </w:rPr>
        <w:t>知</w:t>
      </w:r>
      <w:r>
        <w:rPr>
          <w:rFonts w:hint="eastAsia" w:ascii="宋体" w:hAnsi="宋体" w:eastAsia="宋体" w:cs="宋体"/>
          <w:kern w:val="0"/>
          <w:sz w:val="24"/>
          <w:szCs w:val="24"/>
        </w:rPr>
        <w:t>识目标</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坚持四项基本原则，学习马列主义、毛泽东思想和邓小平理论，树立正确的世界观、人生观和价值观，遵纪守法，能够运用马克思主义的立场、观点和方法分析和解决问题。</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掌握一定的经济理论和法律知识，熟悉市场经济的基本理论和基本经济制度，掌握心理学、市场营销、企业管理、人力资源管理的基本理论和知识，掌握连锁经营管理的操作技能。专业的具体培养要求为：掌握连锁经营的基本原理，熟悉连锁企业标准规范的购销运存等业务流程；熟练掌握连锁企业门店运作管理及各岗位的操作技术；掌握连锁企业人、财、物、信息等方面管理的基本知识和技能。</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2.能力目标</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（1）外语能力：能阅读一般英文资料，进行简单英语会话；</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（2）计算机应用能力：掌握计算机在连锁企业管理中的应用技术及电子商务基本技术。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（3）创新能力：具有发现问题、分析问题、解决问题的逻辑思维和创新能力，进行知识更新、不断自我提高的继续发展能力。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（4）职业资格能力：学生根据自己实际需要，通过各种学习途径取得与本专业相关的职业资格证书和应用能力证书，如：营销员资格证书、计算机应用能力证书、英语应用能力证书、普通话等级证书等。</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3.素质目标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（1）文化修养：有道德、有礼貌、遵纪守法、乐于助人。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（2）心理素质：善于处理人际关系的沟通、协调和合作能力。</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（3）身体素质：具有健康的体魄和良好的体育锻炼习惯。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lang w:eastAsia="zh-CN"/>
        </w:rPr>
        <w:t>）思政素质：具有社会主义核心价值观，实践专业精神、职业精神和工匠精神。</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1" w:name="_Toc3762_WPSOffice_Level1"/>
      <w:r>
        <w:rPr>
          <w:rFonts w:hint="eastAsia"/>
        </w:rPr>
        <w:t>五、培养方式</w:t>
      </w:r>
      <w:bookmarkEnd w:id="21"/>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ascii="宋体" w:hAnsi="宋体" w:eastAsia="宋体" w:cs="Times New Roman"/>
          <w:sz w:val="24"/>
          <w:szCs w:val="24"/>
        </w:rPr>
        <w:t>本专业由校企联合招生，</w:t>
      </w:r>
      <w:r>
        <w:rPr>
          <w:rFonts w:hint="eastAsia" w:ascii="宋体" w:hAnsi="宋体" w:eastAsia="宋体" w:cs="Times New Roman"/>
          <w:sz w:val="24"/>
          <w:szCs w:val="24"/>
        </w:rPr>
        <w:t>联合培养，一体化育人。教学组织形式主要有：集中授课、企业培训、任务训练、岗位培养等。公共课程及专业技术技能课程的理论课程的理论知识在学校或企业教学点由学校导师担任，专业技术技能课程的技术操作在企业教学点及岗位由企业导师担任。</w:t>
      </w:r>
      <w:r>
        <w:rPr>
          <w:rFonts w:ascii="宋体" w:hAnsi="宋体" w:eastAsia="宋体" w:cs="Times New Roman"/>
          <w:sz w:val="24"/>
          <w:szCs w:val="24"/>
        </w:rPr>
        <w:t>人才培养方案</w:t>
      </w:r>
      <w:r>
        <w:rPr>
          <w:rFonts w:hint="eastAsia" w:ascii="宋体" w:hAnsi="宋体" w:eastAsia="宋体" w:cs="Times New Roman"/>
          <w:sz w:val="24"/>
          <w:szCs w:val="24"/>
        </w:rPr>
        <w:t>体现校企双主体、交互训教、岗位培养、学徒双身份、工学交替、在岗成才等特征。</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2" w:name="_Toc7781_WPSOffice_Level1"/>
      <w:r>
        <w:rPr>
          <w:rFonts w:hint="eastAsia"/>
        </w:rPr>
        <w:t>六</w:t>
      </w:r>
      <w:r>
        <w:t>、</w:t>
      </w:r>
      <w:r>
        <w:rPr>
          <w:rFonts w:hint="eastAsia"/>
        </w:rPr>
        <w:t>职业范围</w:t>
      </w:r>
      <w:bookmarkEnd w:id="22"/>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（一）职业生涯发展规划</w:t>
      </w:r>
    </w:p>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b/>
          <w:sz w:val="24"/>
          <w:szCs w:val="24"/>
        </w:rPr>
      </w:pPr>
      <w:r>
        <w:rPr>
          <w:rFonts w:hint="eastAsia" w:ascii="宋体" w:hAnsi="宋体" w:eastAsia="宋体" w:cs="Times New Roman"/>
          <w:b/>
          <w:sz w:val="24"/>
          <w:szCs w:val="24"/>
        </w:rPr>
        <w:t>表1 连锁经营管理专业职业生涯发展一般路径</w:t>
      </w:r>
    </w:p>
    <w:tbl>
      <w:tblPr>
        <w:tblStyle w:val="1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701"/>
        <w:gridCol w:w="1275"/>
        <w:gridCol w:w="1560"/>
        <w:gridCol w:w="850"/>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1101"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发展阶段</w:t>
            </w:r>
          </w:p>
        </w:tc>
        <w:tc>
          <w:tcPr>
            <w:tcW w:w="1134"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学徒岗位</w:t>
            </w:r>
          </w:p>
        </w:tc>
        <w:tc>
          <w:tcPr>
            <w:tcW w:w="4536" w:type="dxa"/>
            <w:gridSpan w:val="3"/>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就业岗位</w:t>
            </w:r>
          </w:p>
        </w:tc>
        <w:tc>
          <w:tcPr>
            <w:tcW w:w="850"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学历层次</w:t>
            </w:r>
          </w:p>
        </w:tc>
        <w:tc>
          <w:tcPr>
            <w:tcW w:w="1843" w:type="dxa"/>
            <w:gridSpan w:val="2"/>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发展年限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1134"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操作岗位</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商务岗位</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管理岗位</w:t>
            </w:r>
          </w:p>
        </w:tc>
        <w:tc>
          <w:tcPr>
            <w:tcW w:w="850"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中职</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高职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Ⅵ</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4536" w:type="dxa"/>
            <w:gridSpan w:val="3"/>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行业专家、企业高管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15年以上</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0</w:t>
            </w:r>
            <w:r>
              <w:rPr>
                <w:rFonts w:hint="eastAsia" w:ascii="宋体" w:hAnsi="宋体" w:eastAsia="宋体" w:cs="Times New Roman"/>
                <w:sz w:val="24"/>
                <w:szCs w:val="24"/>
              </w:rPr>
              <w:t>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Ⅴ</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连锁营运总监</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连锁渠道总监</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连锁区域经理</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8-10</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Ⅳ</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零售总部质量管理员、</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人资管理员、</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数据分析员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采购、理货管理岗位</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物流配送</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总部展店部主管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8-10</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4-7</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Ⅲ</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连锁基层管理</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门店部门主管、</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营销策划师</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仓储经理、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门店店长、</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连锁企业总部职能主管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4-5</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1-3</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Ⅱ</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连锁基层操作员</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销售员、理货员、仓管员、人事专员、收货员、数据分析员、生鲜采购员</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客户服务员、统计员、营销员、货代员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店长助理、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小店合伙人、大客户经理</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中职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2-3</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0</w:t>
            </w:r>
            <w:r>
              <w:rPr>
                <w:rFonts w:ascii="宋体" w:hAnsi="宋体" w:eastAsia="宋体" w:cs="Times New Roman"/>
                <w:sz w:val="24"/>
                <w:szCs w:val="24"/>
              </w:rPr>
              <w:t>-1</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Ⅰ</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营销员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中职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1-2</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r>
    </w:tbl>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color w:val="FF0000"/>
          <w:sz w:val="24"/>
          <w:szCs w:val="24"/>
        </w:rPr>
      </w:pPr>
    </w:p>
    <w:p>
      <w:pPr>
        <w:pageBreakBefore w:val="0"/>
        <w:kinsoku/>
        <w:wordWrap/>
        <w:overflowPunct/>
        <w:topLinePunct w:val="0"/>
        <w:bidi w:val="0"/>
        <w:adjustRightInd w:val="0"/>
        <w:snapToGrid w:val="0"/>
        <w:spacing w:line="360" w:lineRule="auto"/>
        <w:ind w:left="0" w:leftChars="0" w:firstLine="453" w:firstLineChars="189"/>
        <w:jc w:val="both"/>
        <w:textAlignment w:val="auto"/>
        <w:rPr>
          <w:rFonts w:ascii="宋体" w:hAnsi="宋体" w:eastAsia="宋体" w:cs="Times New Roman"/>
          <w:sz w:val="24"/>
          <w:szCs w:val="24"/>
        </w:rPr>
      </w:pPr>
      <w:r>
        <w:rPr>
          <w:rFonts w:hint="eastAsia" w:ascii="宋体" w:hAnsi="宋体" w:eastAsia="宋体" w:cs="Times New Roman"/>
          <w:sz w:val="24"/>
          <w:szCs w:val="24"/>
        </w:rPr>
        <w:t>（二）面向职业范围</w:t>
      </w:r>
    </w:p>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b/>
          <w:sz w:val="24"/>
          <w:szCs w:val="24"/>
        </w:rPr>
      </w:pPr>
      <w:r>
        <w:rPr>
          <w:rFonts w:hint="eastAsia" w:ascii="宋体" w:hAnsi="宋体" w:eastAsia="宋体" w:cs="Times New Roman"/>
          <w:b/>
          <w:sz w:val="24"/>
          <w:szCs w:val="24"/>
        </w:rPr>
        <w:t>表2  连锁经营管理专业面向职业范围</w:t>
      </w:r>
    </w:p>
    <w:tbl>
      <w:tblPr>
        <w:tblStyle w:val="13"/>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305"/>
        <w:gridCol w:w="2132"/>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序号</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对应职业（岗位群）</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学徒目标方向</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操作岗位（销售员、理货员、仓管员、人事专员、收货员、生鲜采购员）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销售员、理货员、仓管员、人事专员、收货员、生鲜采购员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助理品类管理师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商务岗位（客户服务员、数据分析员、业务员、营销策划员等</w:t>
            </w:r>
            <w:r>
              <w:rPr>
                <w:rFonts w:ascii="宋体" w:hAnsi="宋体" w:eastAsia="宋体" w:cs="Times New Roman"/>
                <w:sz w:val="24"/>
                <w:szCs w:val="24"/>
              </w:rPr>
              <w:t>）</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客户服务员、数据分析员、业务员、营销策划员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连锁经营管理师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管理岗位（仓储主管、配送主管、运输主管、信息主管、采购主管、店长、区域经理）</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仓储主管、配送主管、运输主管、信息主管、采购主管、店长、区域经理</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高级连锁经营管理师</w:t>
            </w:r>
          </w:p>
        </w:tc>
      </w:tr>
    </w:tbl>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3" w:name="_Toc5445_WPSOffice_Level1"/>
      <w:r>
        <w:rPr>
          <w:rFonts w:hint="eastAsia"/>
        </w:rPr>
        <w:t>七、人才</w:t>
      </w:r>
      <w:r>
        <w:t>规格</w:t>
      </w:r>
      <w:bookmarkEnd w:id="23"/>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（一）职业素养</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表3 连锁经营管理专业职业素养</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职业素养</w:t>
            </w:r>
          </w:p>
        </w:tc>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合作企业要求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1" w:hRule="atLeast"/>
        </w:trPr>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1.具备良好的职业道德，能够热爱本职工作，诚实守信；</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2.具有较扎实的专业岗位知识和专业技能，掌握行业的发展方向，具有科学精神和求知欲望；</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3.具有工匠精神，能够吃苦耐劳、恪尽职守、精益求精；</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4.具有创新创业意识，具备开创性的思想、观念、个性、意志、作风和品质；</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5.具有信息素养，能够有效地选择、查找及评估各种信息资源；</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6.具有针对工作的主动性、针对发展的自觉性，具备竞争意识及对成就的向往和追求精神；</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7.具有质量意识、安全意识、服务意识和环保意识，具有强烈的责任心和公益心。</w:t>
            </w:r>
          </w:p>
        </w:tc>
        <w:tc>
          <w:tcPr>
            <w:tcW w:w="4264" w:type="dxa"/>
          </w:tcPr>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1.对企业有认同感,短期内不跳槽；</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2.扎实工作,对分配的工作能尽心尽职完成；</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3.吃苦耐劳,不对工作挑肥拣瘦；</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4.与同事搞好团结；</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5.能对工作中的问题提出自己的看法。</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6.具有较强的沟通能力和团队合作精神;</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7.具有较强责任心,敬业负责,积极主动,踏实肯干;</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8.具有较强的现代服务意识;</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9.具有较强的社会适应能力;</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10.具有创业精神与创新意识。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r>
    </w:tbl>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（二）专业能力</w:t>
      </w:r>
    </w:p>
    <w:p>
      <w:pPr>
        <w:pageBreakBefore w:val="0"/>
        <w:kinsoku/>
        <w:wordWrap/>
        <w:overflowPunct/>
        <w:topLinePunct w:val="0"/>
        <w:bidi w:val="0"/>
        <w:adjustRightInd w:val="0"/>
        <w:snapToGrid w:val="0"/>
        <w:spacing w:line="360" w:lineRule="auto"/>
        <w:ind w:left="0" w:leftChars="0" w:firstLine="2371" w:firstLineChars="988"/>
        <w:textAlignment w:val="auto"/>
        <w:rPr>
          <w:rFonts w:ascii="宋体" w:hAnsi="宋体" w:eastAsia="宋体" w:cs="Times New Roman"/>
          <w:b/>
          <w:sz w:val="24"/>
          <w:szCs w:val="24"/>
        </w:rPr>
      </w:pPr>
      <w:r>
        <w:rPr>
          <w:rFonts w:hint="eastAsia" w:ascii="宋体" w:hAnsi="宋体" w:eastAsia="宋体" w:cs="Times New Roman"/>
          <w:b/>
          <w:sz w:val="24"/>
          <w:szCs w:val="24"/>
        </w:rPr>
        <w:t>表4 连锁经营管理专业专业能力</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专业能力</w:t>
            </w:r>
          </w:p>
        </w:tc>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合作企业要求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·熟悉收银操作系统；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·熟悉理货、仓储和物流配送的相关法则；</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·熟悉防损的相关技术；</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·能熟练地在因特网上检索、浏览信息、下载文件、收发电子邮件。会使用常用软件检查和清除常见的计算机病毒，会检查、排除计算机的一般常见故障（非硬件）；</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·通过安徽省高职高专英语应用能力考试；</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·能针对不同场合，恰当地使用语言与他人交流，能有效运用信息撰写比较规范的常用应用文。如调查报告、工作计划、工作总结等，且书写工整；</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·能制定调研计划、拟定调研提纲、规划调研步骤；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·确定符合实际的个人发展方向并制定切实可行的发展规划、安排并有效利用时间完成阶段工作任务和学习计划；不断获得新知识、新技能来适应新的或变化着的环境；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·在学习和工作中，勤于思考，愿意提问，积极发表自己的见解；在实验、实习、实训和毕业设计（或毕业综合实践）中善于动脑，乐于探索，有一定的创新见解。</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·商品采购管能力；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·物流配送能力；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·人力资源配置能力；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·连锁超市营销能力；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·超市的防损能力；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·理货能力；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·超市导购能力；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·超市客户投诉处理能力；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·商品性能、质量鉴别能力；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·使用、维护、养护能力；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·货币的鉴别能力；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·超市企划开发设计能力。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·中小型数据库管理能力；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·移动互联时代下电子商务能力；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·超市电脑系统应用与管理能力；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·商品采购管理能力；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·物流 配送管理能力；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·超市门店运作与管理；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·连锁经营与管理能力；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·人力资源配置能力；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·连锁超市管理能力；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·超市电脑系统使用管理能力；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·收银终端、收货终端的管理能力；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bl>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color w:val="FF0000"/>
          <w:sz w:val="24"/>
          <w:szCs w:val="24"/>
        </w:r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4" w:name="_Toc25961_WPSOffice_Level1"/>
      <w:r>
        <w:rPr>
          <w:rFonts w:hint="eastAsia"/>
        </w:rPr>
        <w:t>八、典型工作任务及职业能力分析</w:t>
      </w:r>
      <w:bookmarkEnd w:id="24"/>
    </w:p>
    <w:p>
      <w:pPr>
        <w:pageBreakBefore w:val="0"/>
        <w:widowControl/>
        <w:shd w:val="clear" w:color="auto" w:fill="FFFFFF"/>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ascii="宋体" w:hAnsi="宋体" w:eastAsia="宋体" w:cs="Times New Roman"/>
          <w:sz w:val="24"/>
          <w:szCs w:val="24"/>
        </w:rPr>
        <w:t>职业分析与课程转化标准的制定是现代学徒制深入开展的前提条件。</w:t>
      </w:r>
      <w:r>
        <w:rPr>
          <w:rFonts w:hint="eastAsia" w:ascii="宋体" w:hAnsi="宋体" w:eastAsia="宋体" w:cs="Times New Roman"/>
          <w:sz w:val="24"/>
          <w:szCs w:val="24"/>
        </w:rPr>
        <w:t>我院连锁经营管理专业与合作企业</w:t>
      </w:r>
      <w:r>
        <w:rPr>
          <w:rFonts w:ascii="宋体" w:hAnsi="宋体" w:eastAsia="宋体" w:cs="Times New Roman"/>
          <w:sz w:val="24"/>
          <w:szCs w:val="24"/>
        </w:rPr>
        <w:t>首先进行职业分析，在此基础上进行课程转化，</w:t>
      </w:r>
      <w:r>
        <w:rPr>
          <w:rFonts w:hint="eastAsia" w:ascii="宋体" w:hAnsi="宋体" w:eastAsia="宋体" w:cs="Times New Roman"/>
          <w:sz w:val="24"/>
          <w:szCs w:val="24"/>
        </w:rPr>
        <w:t>确定</w:t>
      </w:r>
      <w:r>
        <w:rPr>
          <w:rFonts w:ascii="宋体" w:hAnsi="宋体" w:eastAsia="宋体" w:cs="Times New Roman"/>
          <w:sz w:val="24"/>
          <w:szCs w:val="24"/>
        </w:rPr>
        <w:t>典型的工作任务。做职业分析时，以</w:t>
      </w:r>
      <w:r>
        <w:rPr>
          <w:rFonts w:hint="eastAsia" w:ascii="宋体" w:hAnsi="宋体" w:eastAsia="宋体" w:cs="Times New Roman"/>
          <w:sz w:val="24"/>
          <w:szCs w:val="24"/>
        </w:rPr>
        <w:t>合肥永辉超市</w:t>
      </w:r>
      <w:r>
        <w:rPr>
          <w:rFonts w:ascii="宋体" w:hAnsi="宋体" w:eastAsia="宋体" w:cs="Times New Roman"/>
          <w:sz w:val="24"/>
          <w:szCs w:val="24"/>
        </w:rPr>
        <w:t>企业专家为主；在课程转化中，企业专家和课程转化专家共同完成。</w:t>
      </w:r>
    </w:p>
    <w:p>
      <w:pPr>
        <w:pageBreakBefore w:val="0"/>
        <w:kinsoku/>
        <w:wordWrap/>
        <w:overflowPunct/>
        <w:topLinePunct w:val="0"/>
        <w:bidi w:val="0"/>
        <w:adjustRightInd w:val="0"/>
        <w:snapToGrid w:val="0"/>
        <w:spacing w:line="360" w:lineRule="auto"/>
        <w:ind w:left="0" w:leftChars="0" w:firstLine="1440" w:firstLineChars="600"/>
        <w:textAlignment w:val="auto"/>
        <w:rPr>
          <w:rFonts w:ascii="宋体" w:hAnsi="宋体" w:eastAsia="宋体" w:cs="Times New Roman"/>
          <w:b/>
          <w:bCs/>
          <w:sz w:val="24"/>
          <w:szCs w:val="24"/>
        </w:rPr>
      </w:pPr>
      <w:r>
        <w:rPr>
          <w:rFonts w:hint="eastAsia" w:ascii="宋体" w:hAnsi="宋体" w:eastAsia="宋体" w:cs="Times New Roman"/>
          <w:b/>
          <w:bCs/>
          <w:sz w:val="24"/>
          <w:szCs w:val="24"/>
        </w:rPr>
        <w:t>表5   连锁经营管理职业职业能力分析表</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340"/>
        <w:gridCol w:w="4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工作项目</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工作任务</w:t>
            </w:r>
          </w:p>
        </w:tc>
        <w:tc>
          <w:tcPr>
            <w:tcW w:w="427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市场调查分析</w:t>
            </w:r>
          </w:p>
        </w:tc>
        <w:tc>
          <w:tcPr>
            <w:tcW w:w="4274" w:type="dxa"/>
            <w:vMerge w:val="restart"/>
          </w:tcPr>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市场调查问卷设计、实施、数据分析、报告撰写。</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营销策划、营销方案设计、广告制作。</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网络营销、推销、促销的设计与实施。</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品牌设计、定位、维护推广。</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定价策略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营销策划</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广告制作</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网络营销</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推销管理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促销管理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定价管理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品牌管理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订单管理</w:t>
            </w:r>
          </w:p>
        </w:tc>
        <w:tc>
          <w:tcPr>
            <w:tcW w:w="4274" w:type="dxa"/>
            <w:vMerge w:val="restart"/>
          </w:tcPr>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供应商选择、信用的确定。</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采购计划制定</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招标采购的流程</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合同管理</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订单流程管理</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库存管理、进货管理、进货管理、商品存储管理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现金管理</w:t>
            </w:r>
          </w:p>
        </w:tc>
        <w:tc>
          <w:tcPr>
            <w:tcW w:w="4274" w:type="dxa"/>
            <w:vMerge w:val="restart"/>
          </w:tcPr>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货币鉴别、pos机使用与维护。</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银行卡交易管理</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会员身份确定、会员权利和义务管理</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收银管理流程</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票据管理流程</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包装设计、商品包装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磁卡、银行卡管理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会员管理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票据管理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包装管理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理货管理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商品盘点</w:t>
            </w:r>
          </w:p>
        </w:tc>
        <w:tc>
          <w:tcPr>
            <w:tcW w:w="4274" w:type="dxa"/>
            <w:vMerge w:val="restart"/>
          </w:tcPr>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商品盘点系统操作</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商品布局设计、卖场布置</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商品分类、标签管理、条码管理</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商品鉴别、质量检验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商品陈列</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商品布局</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商品分类</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商品鉴别</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防损管理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生鲜防损</w:t>
            </w:r>
          </w:p>
        </w:tc>
        <w:tc>
          <w:tcPr>
            <w:tcW w:w="4274" w:type="dxa"/>
            <w:vMerge w:val="restart"/>
          </w:tcPr>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生鲜防损实施管理</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防损管理实施和技巧</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商品养护措施</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人防配置、布置</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机防设备配置和实施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收银防损</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商品养护管理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人防</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机防</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信息管理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前台信息管理</w:t>
            </w:r>
          </w:p>
        </w:tc>
        <w:tc>
          <w:tcPr>
            <w:tcW w:w="4274" w:type="dxa"/>
            <w:vMerge w:val="restart"/>
          </w:tcPr>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前台信息的管理的输入</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后台信息整理与分析</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销售信息管理</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采购供应商和配送欣喜地收集、整理和分析</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人员配置信息、业绩信息</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商品条码信息管理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后台信息管理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销售信息管理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采购、配送信息管理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人员信息管理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条码技术管理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配送管理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进货管理</w:t>
            </w:r>
          </w:p>
        </w:tc>
        <w:tc>
          <w:tcPr>
            <w:tcW w:w="4274" w:type="dxa"/>
            <w:vMerge w:val="restart"/>
          </w:tcPr>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供应商的选择</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订单流程管理和保存</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捡货设备和人员配置、流程管理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捕货时机选择、进货点的确定</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配货流程和管理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送货流程、送货设备配置、路径规划、运输管理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库存设置、商品养护、商品存储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捡货管理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补货管理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送货管理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运输管理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招聘管理</w:t>
            </w:r>
          </w:p>
        </w:tc>
        <w:tc>
          <w:tcPr>
            <w:tcW w:w="4274" w:type="dxa"/>
            <w:vMerge w:val="restart"/>
          </w:tcPr>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招聘时机、方式和发布信息途径的选择</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组织架构调整和设计</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薪酬支付体系设计管理、支付方式</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培训课程设计、师资选择、需求确定、其他流程管理 </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激励制度设计和实施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配置管理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薪资管理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培训管理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劳动关系管理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激励管理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法律维权</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客户投诉管理</w:t>
            </w:r>
          </w:p>
        </w:tc>
        <w:tc>
          <w:tcPr>
            <w:tcW w:w="4274" w:type="dxa"/>
            <w:vMerge w:val="restart"/>
          </w:tcPr>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行业制度、法律、法规使用</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经营纠纷处理、维权处理</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客户投诉管理</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其他相关供应和销售法律处理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社会关系管理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客户关系管理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售后服务管理</w:t>
            </w:r>
          </w:p>
        </w:tc>
        <w:tc>
          <w:tcPr>
            <w:tcW w:w="4274" w:type="dxa"/>
            <w:vMerge w:val="restart"/>
          </w:tcPr>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售后服务处理、流程设计</w:t>
            </w:r>
          </w:p>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供应商的选择、供应商管理</w:t>
            </w:r>
          </w:p>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投诉处理流程管理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门店综合管理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选址管理</w:t>
            </w:r>
          </w:p>
        </w:tc>
        <w:tc>
          <w:tcPr>
            <w:tcW w:w="4274" w:type="dxa"/>
            <w:vMerge w:val="restart"/>
          </w:tcPr>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门店选址流程和商圈调查 </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门店设计和企业形象管理</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企业财务管理和财务数据分析</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门店运营的标准和连锁企业运营的制度制订</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开业设计和开业流程管理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开业管理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门店设计</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财务管理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企业形象管理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bl>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5" w:name="_Toc8870_WPSOffice_Level1"/>
      <w:r>
        <w:rPr>
          <w:rFonts w:hint="eastAsia"/>
        </w:rPr>
        <w:t>九、</w:t>
      </w:r>
      <w:r>
        <w:t>课程</w:t>
      </w:r>
      <w:r>
        <w:rPr>
          <w:rFonts w:hint="eastAsia"/>
        </w:rPr>
        <w:t>结构</w:t>
      </w:r>
      <w:bookmarkEnd w:id="25"/>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课程分为</w:t>
      </w:r>
      <w:r>
        <w:rPr>
          <w:rFonts w:ascii="宋体" w:hAnsi="宋体" w:eastAsia="宋体" w:cs="宋体"/>
          <w:kern w:val="0"/>
          <w:sz w:val="24"/>
          <w:szCs w:val="24"/>
        </w:rPr>
        <w:t>公共基础课</w:t>
      </w:r>
      <w:r>
        <w:rPr>
          <w:rFonts w:hint="eastAsia" w:ascii="宋体" w:hAnsi="宋体" w:eastAsia="宋体" w:cs="宋体"/>
          <w:kern w:val="0"/>
          <w:sz w:val="24"/>
          <w:szCs w:val="24"/>
        </w:rPr>
        <w:t>程和</w:t>
      </w:r>
      <w:r>
        <w:rPr>
          <w:rFonts w:ascii="宋体" w:hAnsi="宋体" w:eastAsia="宋体" w:cs="宋体"/>
          <w:kern w:val="0"/>
          <w:sz w:val="24"/>
          <w:szCs w:val="24"/>
        </w:rPr>
        <w:t>专业课</w:t>
      </w:r>
      <w:r>
        <w:rPr>
          <w:rFonts w:hint="eastAsia" w:ascii="宋体" w:hAnsi="宋体" w:eastAsia="宋体" w:cs="宋体"/>
          <w:kern w:val="0"/>
          <w:sz w:val="24"/>
          <w:szCs w:val="24"/>
        </w:rPr>
        <w:t>程两个模块。</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1.公共基础课程</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公共基础课程根据国家教育行政部门的有关规定进行设置。思想道德修养与法律基础、毛泽东思想和中国特色社会主义理论体系概论、实用英语、计算机文化基础、经济数学、体育、形势与政策、大学生心理健康教育、职业生涯规划与就业指导、国防教育与军事训练。开设文化素养课程：中华文化与历史传承；自然、科学与科技；社会热点与世界视野；自我认知与人生发展；经济管理与法律基础；文学修养与艺术鉴赏。</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2.专业课</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包括专业技术技能课程、学徒岗位课程和通用技能课程，并涵盖有关实践性教学环节。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1）专业技术技能课程：一共开设22门专业技术技能课程。商务礼仪、连锁经营概论、市场营销、管理学基础、商品知识、经济学基础、商场操作技术与售货艺术、新零售基础、消费心理分析与应用、市场调查、商务谈判、连锁企业营运管理、连锁企业采购管理、连锁企业门店开发与设计、店长管理实务、特许经营管理、财会基础、品类管理、人力资源管理、商品配送管理、商务法规、零售数据分析与应用。</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2）学徒岗位课程：一共开设6门学徒岗位课程。电商模块1：电子商务概论、管理模块1：CAD基础、电商模块2：数字化营销、管理模块2：门店现场管理（校企合作）、电商模块3：跨境电商（校企合作）、管理模块3：物流管理。</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（3）通用技能课程：速录与办公自动化、创新创业实践、高级文档处理、电话营销体验。</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6" w:name="_Toc15906_WPSOffice_Level1"/>
      <w:bookmarkStart w:id="27" w:name="_Toc518843886"/>
      <w:r>
        <w:rPr>
          <w:rFonts w:hint="eastAsia"/>
        </w:rPr>
        <w:t>十、课程内容</w:t>
      </w:r>
      <w:bookmarkEnd w:id="26"/>
      <w:bookmarkEnd w:id="27"/>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（一）公共基础课程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表6  连锁经营管理专业公共基础课程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思想道德修养与法律基础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以马克思列宁主义、毛泽东思想、中国特色社会主义理论体系为指导，以社会主义核心价值体系和社会主义核心价值观为主线，针对大学生成长过程中面临的思想道德和法律问题，有效开展马克思主义的世界观、人生观、价值观和法治观教育，引导大学生树立崇高的理想信念，弘扬伟大的爱国主义精神，确立正确的人生观和价值观，加强思想品德修养，增强学法守法的自觉性，全面提高思想道德素质和法律素质，是一门融思想性、政治性、知识性、综合性和实践性于一体的课程。</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毛泽东思想和中国特色社会主义理论体系概论</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bookmarkStart w:id="28" w:name="OLE_LINK4"/>
            <w:r>
              <w:rPr>
                <w:rFonts w:hint="eastAsia" w:ascii="宋体" w:hAnsi="宋体" w:eastAsia="宋体" w:cs="宋体"/>
                <w:kern w:val="0"/>
                <w:sz w:val="24"/>
                <w:szCs w:val="24"/>
              </w:rPr>
              <w:t>实用英语</w:t>
            </w:r>
            <w:bookmarkEnd w:id="28"/>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内容由三个部分组成，即综合、听说、实践，培养学生的英语语言技能、英语表达能力和实用英语应用能力。本课程以网络教学平台为辅助，培养学生的自主学习能力，满足个性化学习的需要。以第二英语课堂为依托，培养学生的实践应用能力。</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计算机文化基础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计算机文化基础》课程是高等学校各专业的一门公共基础必修课程，同时也是一门计算机类的入门课。该课程向学生介绍计算机应用的相关基础知识，重点强调学生的实践动手技能。本课程主要内容包括:计算机基础知识、Windows7操作系统、Word2010、Excel2010、PowerPoint2010及Internet应用等章节。</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经济数学</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本课程主要讲授：矩阵；线性方程组；随机事件与概率；随机变量及其分布；随机变量的数字特征等方面的基本概念、基本理论和基本运算技能。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形势与政策</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形势与政策》课是高校思想政治理论课的主干课程，是全校各专业必修课程。形势与政策教育是高等学校学生思想政治教育的重要内容。形势与政策课是高校思想政治理论课的重要组成部分，是对学生进行形势与政策教育的主渠道、主阵地，是每个学生的必修课程，在大学生思想政治教育中担负着重要使命，具有不可替代的重要作用。依据中宣部、教育部下发的“高校形势与政策教育教学要点”，结合当前国际国内形势以及高等教育改革形势和大学生成长的特点而开设。在介绍当前国内外经济政治形势、国际关系以及国内外热点事件的基础上，阐明了我国政府的基本原则、基本立场与应对政策。</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大学生心理健康教育</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了解心理健康的基础知识、了解自我，发展自我、提高自我心理调适能力。采用团体活动组织、感悟分享、理论讲授三者相结合的教学方法。课程对促进青年大学生顺利适应大学生活，提高和增强大学生心理素质，努力推进大学生健康成才，发挥了重要的积极作用。</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职业生涯规划与就业指导</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主要包括：就业与就业指导、就业观念、就业心理、职业与职业道德、职业生涯规划、就业市场与就业方式、就业综合素质、就业技巧、就业制度与政策、就业信息与程序、就业法律等。</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文化素养课程</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中华文化与历史传承；自然、科学与科技；社会热点与世界视野；自我认知与人生发展；经济管理与法律基础；文学修养与艺术鉴赏</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bl>
    <w:p>
      <w:pPr>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（二）专业技术技能课程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表7   连锁经营管理专业专业技术技能课程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连锁经营概论</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经营是现代商业的发展趋势。本课程主要讲授连锁经营的理念及其在国内外的发展，经营管理体系的建立，连锁运营以及内部控制等有关内容，对特大型零售商业企业和其他新兴业态的探索是连锁经营这一全新的课程的特点。在讲授理论知识的同时，注重对其实际应用能力的培养和岗位技能的训练，运用大量案例说明经营方式和内部管理方法，便于学生在这一新兴领域就业和发挥自己的能力。</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连锁企业采购管理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本课程以连锁企业采购经营活动的运作流程为中心线索，对连锁企业的采购组织、采购计划与预算、采购决策、采购作业流程管理、供应商管理、采购谈判与合同管理、商品验收与退货、采购风险管理与绩效评估等内容进行了阐述。在教学过程中注重实用性，通过大量的案例分析和实训项目，以使学生更好地理解连锁企业采购管理的知识，并在实践中加以灵活运用。为学生提供岗位所需的知识、能力，以及职业素质培养、职业规划方向的指导。</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连锁企业门店营运与管理</w:t>
            </w:r>
          </w:p>
        </w:tc>
        <w:tc>
          <w:tcPr>
            <w:tcW w:w="6302" w:type="dxa"/>
          </w:tcPr>
          <w:p>
            <w:pPr>
              <w:pageBreakBefore w:val="0"/>
              <w:tabs>
                <w:tab w:val="left" w:pos="950"/>
              </w:tabs>
              <w:suppressAutoHyphens/>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以统一可复制的模式，不断扩张门店，因此连锁店是连锁企业经营的重要载体。本课程主要讲授连锁门店质量管理、作业管理、价格与绩效管理等内容，使学生掌握连锁门店运营与管理的主要工作任务及业务流程，能够进行基本的绩效考核。</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9"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商场操作技术与售货艺术</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本课程系统全面地分析了卖场设计规划、商品管理、工作人员等管理的方法和技巧，为商场超市卖场提高服务质量的提高进行全方位的剖析，内容全面，系统性、实用性和可操作性较强。主要包括：商场超市卖场组织结构及日常管理；商场超市卖场的规划设计、商品管理、收银管理、前台管理、促销管理；商场超市卖场的人员管理、设备管理、安全卫生管理；商场超市卖场的服务过程及服务技巧。从进货、铺货、售货、理货、退货等方面全面展开、层层推进，将店铺货品管理的每一个工作环节细节化，把每一个切实有效的技巧和方法落实到具体环节中，使学生在运用这些技巧和方法时能够行之有效、得心应手。</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品类管理基础</w:t>
            </w:r>
          </w:p>
        </w:tc>
        <w:tc>
          <w:tcPr>
            <w:tcW w:w="6302" w:type="dxa"/>
          </w:tcPr>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主要学习品类管理的定义与角色定位、平类评估与品类指标、品类策略、品类战术制定、品类管理实施与回顾，为卖场商品管理和销售以及供应商的选择奠定基础。项目考核</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1.商品组织结构的搭建、商品组织单品配置、品类角色定位；</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2.品类评估及目标的制定；</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3.品类策略的确定及策略如何向战术转化；</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4、高效的商品组合，高效的商品定价、商品促销、供应链管理；</w:t>
            </w:r>
          </w:p>
          <w:p>
            <w:pPr>
              <w:pageBreakBefore w:val="0"/>
              <w:tabs>
                <w:tab w:val="left" w:pos="720"/>
              </w:tabs>
              <w:kinsoku/>
              <w:wordWrap/>
              <w:overflowPunct/>
              <w:topLinePunct w:val="0"/>
              <w:autoSpaceDE w:val="0"/>
              <w:autoSpaceDN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5.高效的空间管理</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特许经营管理与实务</w:t>
            </w:r>
          </w:p>
        </w:tc>
        <w:tc>
          <w:tcPr>
            <w:tcW w:w="6302" w:type="dxa"/>
          </w:tcPr>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通过本课程的学习可以实现从事特许经营管理和个人进行创业提供理论知识和相关技能的任务。学习该门课程应具备相应的管理学概论、法律基础、市场营销和连锁经营管理的知识，以达到辅助学习深化理解的作用。在学习完该课程后还需进一步深化学习商品学、物流基础、仓储管理、市场调查与预测和广告学等相关的学科。</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财务基础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课程的主要内容：会计的概念、对象、职能、任务及核算方法；会计科目与账户；复式记账原理、借贷记账法、账户对照关系和会计分录；会计确认与计量、会计六大要素的确认与计量；会计凭证的意义与作用；会计账簿的设置和登记、账簿的试算与记账错误的更正；账簿的结账与对帐</w:t>
            </w:r>
            <w:r>
              <w:rPr>
                <w:rFonts w:ascii="宋体" w:hAnsi="宋体" w:eastAsia="宋体" w:cs="Times New Roman"/>
                <w:sz w:val="24"/>
                <w:szCs w:val="24"/>
              </w:rPr>
              <w:t xml:space="preserve"> </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经济学基础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分为三大模块，经济学导论、微观经济学和宏观经济学</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人力资源管理</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人力资源管理方面的最新科学方法、理念和技能；国际实业界最新出现的、正在使用又尚未纳入教科书的思维和方法；最新国内国际人力资源管理理论方面的思维方式、理念和操作方法等</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新零售基础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主要介绍新零售业态，人工智能等新科技的成熟为新零售的诞生奠定了基础。生产端，3D/4D打印改变了商品的生产方式，使得定制化生产成为可能。消费端，AR/VR创造虚实结合的全新消费体验，物联网、传感器从个性化推荐、自动结账、布局优化，帮助顾客筛选繁杂的信息、节约排队时间等方面提升消费体验。生产端与消费端的连接离不开数据的传输和分析，互联网、移动互联网、云计算等数字经济基础设施的完善保障了数据的高速传输，人工智能则提供了模拟人类思维方式的算法，保证了个性化营销的精准性。</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商务礼仪</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商务形象塑造：仪容仪表礼仪、商务仪态礼仪；商务交际礼仪：致意礼仪、握手礼仪、名片礼仪、介绍礼仪、交谈礼仪、座次礼仪、电梯礼仪、行进中礼仪</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32</w:t>
            </w:r>
          </w:p>
        </w:tc>
      </w:tr>
    </w:tbl>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b/>
          <w:kern w:val="0"/>
          <w:sz w:val="24"/>
          <w:szCs w:val="24"/>
        </w:rPr>
      </w:pPr>
      <w:r>
        <w:rPr>
          <w:rFonts w:hint="eastAsia" w:ascii="宋体" w:hAnsi="宋体" w:eastAsia="宋体" w:cs="宋体"/>
          <w:b/>
          <w:kern w:val="0"/>
          <w:sz w:val="24"/>
          <w:szCs w:val="24"/>
        </w:rPr>
        <w:t>（三）学徒岗位能力课程</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学徒岗位课程名称及主要教学内容如下：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表8 连锁经营管理专业学徒岗位能力课程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电商模块1：电子商务概论</w:t>
            </w:r>
          </w:p>
        </w:tc>
        <w:tc>
          <w:tcPr>
            <w:tcW w:w="6302" w:type="dxa"/>
          </w:tcPr>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教学目标：</w:t>
            </w:r>
            <w:r>
              <w:rPr>
                <w:rFonts w:ascii="宋体" w:hAnsi="宋体" w:eastAsia="宋体" w:cs="Times New Roman"/>
                <w:sz w:val="24"/>
                <w:szCs w:val="24"/>
              </w:rPr>
              <w:t>1.掌握电子商务的基本概念、商务模式和支撑技术；2.通过本课程的学习，综合应用相关知识，培养学生的创新意识及电子商务活动的策划能力；3.了解新技术背景下的电子商务发展趋势和新的商务模式。</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sz w:val="24"/>
                <w:szCs w:val="24"/>
              </w:rPr>
              <w:t>教学内容：1.了解电子商务的产生起源、发展趋势及应用，理解电子商务与传统商务的区别，掌握电子商务的基本框架。2.理解电子商务交易的过程，掌握B2C、B2B、C2C三种主要电子商务交易模式的概念及特点。了解电子商务中的其它主要模式。3.熟悉电子商务计算模式及电子商务相关的基本网络技术、基本数据库技术，掌握基本WEB开发技术。4.掌握网络营销的概念、特点、功能和理论基础。了解网络营销的相关策略。熟练掌握网络营销的常用方法及其应用。5.理解电子货币和电子支付在电子商务中的作用，掌握电子货币、电子支付系统、第三方支付及移动支付等概念及特点。6.掌握物流的基本概念、组成要素，了解电子商务下的物流配送管理及物流信息管理，掌握物流的主要信息技术。了解供应链管理的发展及电子商务在供应链管理中应用。7.掌握客户关系管理的基本概念、基础理论，了解数据仓库与数据挖掘在客户关系管理中的应用，了解客户关系管理的发展趋势。8.了解电子商务的安全控制要求和安全管理，掌握数字加密、数字签名等主要安全技术，掌握主要的安全交易协议。9.熟悉电子商务网站的特点与建设流程，掌握电子商务系统生命周期各阶段的内容及任务。10.掌握电子商务法律的概述及特点，了解电子合同法律、电子签名与电子支付法等内容，理解电子商务中的法律热点问题。11.掌握移动商务的基本概念，掌握移动商务的支撑技术、架构与移动商务的价值链及商务模式，了解移动商务安全及应用。</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管理模块1：CAD基础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它是-一个可视化的绘图软件，许多命令和操作可以通过菜单选项和工具按钮等多种方式实现。具有丰富的绘图和绘图辅助功能。如实体绘制、关键点编辑、对象捕捉、标注、鸟瞰显示控制等，它的工具栏、菜单设计、对话框、图形打开预览、信息交换、文本编辑、图像处理和图形的输出预览，为用户的绘图带来很大方便。其次它不仅在二维绘图处理更加成熟，三维功能也更加完善，可方便地进行建模和渲染。这位将来从事门店开发与设计、门店运营夯实基础。</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电商模块2：数字化营销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数字营销是使用数字传播渠道来推广产品和服务的实践活动，从而以一种及时，相关，定制化和节省成本的方式与消费者进行沟通。如：手机，短信/彩信，显示/横幅广告以及数字户外广告等。其包括了网络营销。这是适应新零售和实现精准营销必备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管理模块2：门店现场管理（校企合作）</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企业教师通过在门店现场指导学生现场操作流程，处理日常事务</w:t>
            </w:r>
            <w:r>
              <w:rPr>
                <w:rFonts w:hint="eastAsia" w:ascii="宋体" w:hAnsi="宋体" w:eastAsia="宋体" w:cs="Times New Roman"/>
                <w:sz w:val="24"/>
                <w:szCs w:val="24"/>
              </w:rPr>
              <w:t>，</w:t>
            </w:r>
            <w:r>
              <w:rPr>
                <w:rFonts w:ascii="宋体" w:hAnsi="宋体" w:eastAsia="宋体" w:cs="Times New Roman"/>
                <w:sz w:val="24"/>
                <w:szCs w:val="24"/>
              </w:rPr>
              <w:t>解决人、货、场</w:t>
            </w:r>
            <w:r>
              <w:rPr>
                <w:rFonts w:hint="eastAsia" w:ascii="宋体" w:hAnsi="宋体" w:eastAsia="宋体" w:cs="Times New Roman"/>
                <w:sz w:val="24"/>
                <w:szCs w:val="24"/>
              </w:rPr>
              <w:t>问题。这也是将来店长工作的核心。</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电商模块3：跨境电商（校企合作）</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跨境电子商务作为推动经济一体化、贸易全球化的技术基础，具有非常重要的战略意义。跨境电子商务不仅冲破了国家间的障碍，使国际贸易走向无国界贸易，同时它也正在引起世界经济贸易的巨大变革。对企业来说，跨境电子商务构建的开放、多维、立体的多边经贸合作模式，极大地拓宽了进入国际市场的路径，大大促进了多边资源的优化配置与企业间的互利共赢；对于消费者来说，跨境电子商务使他们非常容易地获取其他国家的信息并买到物美价廉的商品。提升学生的战略意识。</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管理模块3：物流管理</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shd w:val="clear" w:color="auto" w:fill="FFFFFF"/>
              </w:rPr>
            </w:pPr>
            <w:r>
              <w:rPr>
                <w:rFonts w:hint="eastAsia" w:ascii="宋体" w:hAnsi="宋体" w:eastAsia="宋体" w:cs="Times New Roman"/>
                <w:sz w:val="24"/>
                <w:szCs w:val="24"/>
              </w:rPr>
              <w:t>围绕物流企业的物流运作流程及主要工作岗位（如仓管员、验货员、拣货员、装卸员、搬运员、理货员、包装员、盘点员、配送调度员、客户服务人员、单证员、结算员等）的职业技能标准，学习与掌握现代物流企业的仓储运输、商品流通加工与包装、配送、物流成本核算、物流信息技术等必要的理论知识与综合应用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8</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9" w:name="_Toc7556_WPSOffice_Level1"/>
      <w:r>
        <w:rPr>
          <w:rFonts w:hint="eastAsia"/>
        </w:rPr>
        <w:t>十一、教学安排</w:t>
      </w:r>
      <w:bookmarkEnd w:id="29"/>
    </w:p>
    <w:p>
      <w:pPr>
        <w:pageBreakBefore w:val="0"/>
        <w:kinsoku/>
        <w:wordWrap/>
        <w:overflowPunct/>
        <w:topLinePunct w:val="0"/>
        <w:bidi w:val="0"/>
        <w:adjustRightInd w:val="0"/>
        <w:snapToGrid w:val="0"/>
        <w:spacing w:line="360" w:lineRule="auto"/>
        <w:ind w:left="0" w:leftChars="0" w:firstLine="240" w:firstLineChars="10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firstLine="1680" w:firstLineChars="700"/>
        <w:textAlignment w:val="auto"/>
        <w:rPr>
          <w:rFonts w:ascii="宋体" w:hAnsi="宋体" w:eastAsia="宋体" w:cs="Times New Roman"/>
          <w:b/>
          <w:sz w:val="24"/>
          <w:szCs w:val="24"/>
        </w:rPr>
      </w:pPr>
      <w:r>
        <w:rPr>
          <w:rFonts w:hint="eastAsia" w:ascii="宋体" w:hAnsi="宋体" w:eastAsia="宋体" w:cs="Times New Roman"/>
          <w:b/>
          <w:sz w:val="24"/>
          <w:szCs w:val="24"/>
        </w:rPr>
        <w:t>表9  连锁管理专业现代学徒制教学安排表</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sectPr>
          <w:footerReference r:id="rId6" w:type="default"/>
          <w:pgSz w:w="11906" w:h="16838"/>
          <w:pgMar w:top="1440" w:right="1797" w:bottom="1440" w:left="1797" w:header="851" w:footer="1191" w:gutter="0"/>
          <w:pgNumType w:start="1"/>
          <w:cols w:space="720" w:num="1"/>
          <w:docGrid w:type="linesAndChars" w:linePitch="312" w:charSpace="0"/>
        </w:sect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8339455" cy="5281930"/>
            <wp:effectExtent l="0" t="0" r="4445" b="1397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8339455" cy="5281930"/>
                    </a:xfrm>
                    <a:prstGeom prst="rect">
                      <a:avLst/>
                    </a:prstGeom>
                    <a:noFill/>
                    <a:ln w="9525">
                      <a:noFill/>
                    </a:ln>
                  </pic:spPr>
                </pic:pic>
              </a:graphicData>
            </a:graphic>
          </wp:inline>
        </w:drawing>
      </w:r>
    </w:p>
    <w:p>
      <w:pPr>
        <w:keepNext w:val="0"/>
        <w:keepLines w:val="0"/>
        <w:widowControl/>
        <w:suppressLineNumbers w:val="0"/>
        <w:jc w:val="left"/>
      </w:pPr>
      <w:bookmarkStart w:id="36" w:name="_GoBack"/>
      <w:r>
        <w:rPr>
          <w:rFonts w:ascii="宋体" w:hAnsi="宋体" w:eastAsia="宋体" w:cs="宋体"/>
          <w:kern w:val="0"/>
          <w:sz w:val="24"/>
          <w:szCs w:val="24"/>
          <w:lang w:val="en-US" w:eastAsia="zh-CN" w:bidi="ar"/>
        </w:rPr>
        <w:drawing>
          <wp:inline distT="0" distB="0" distL="114300" distR="114300">
            <wp:extent cx="8634730" cy="3380740"/>
            <wp:effectExtent l="0" t="0" r="13970" b="1016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tretch>
                      <a:fillRect/>
                    </a:stretch>
                  </pic:blipFill>
                  <pic:spPr>
                    <a:xfrm>
                      <a:off x="0" y="0"/>
                      <a:ext cx="8634730" cy="3380740"/>
                    </a:xfrm>
                    <a:prstGeom prst="rect">
                      <a:avLst/>
                    </a:prstGeom>
                    <a:noFill/>
                    <a:ln w="9525">
                      <a:noFill/>
                    </a:ln>
                  </pic:spPr>
                </pic:pic>
              </a:graphicData>
            </a:graphic>
          </wp:inline>
        </w:drawing>
      </w:r>
      <w:bookmarkEnd w:id="36"/>
    </w:p>
    <w:p>
      <w:pPr>
        <w:keepNext w:val="0"/>
        <w:keepLines w:val="0"/>
        <w:widowControl/>
        <w:suppressLineNumbers w:val="0"/>
        <w:jc w:val="left"/>
      </w:pPr>
    </w:p>
    <w:p>
      <w:pPr>
        <w:keepNext w:val="0"/>
        <w:keepLines w:val="0"/>
        <w:widowControl/>
        <w:suppressLineNumbers w:val="0"/>
        <w:jc w:val="left"/>
      </w:pPr>
    </w:p>
    <w:p>
      <w:pPr>
        <w:keepNext w:val="0"/>
        <w:keepLines w:val="0"/>
        <w:pageBreakBefore w:val="0"/>
        <w:widowControl/>
        <w:suppressLineNumbers w:val="0"/>
        <w:kinsoku/>
        <w:wordWrap/>
        <w:overflowPunct/>
        <w:topLinePunct w:val="0"/>
        <w:bidi w:val="0"/>
        <w:adjustRightInd w:val="0"/>
        <w:snapToGrid w:val="0"/>
        <w:spacing w:line="360" w:lineRule="auto"/>
        <w:ind w:left="0" w:leftChars="0"/>
        <w:jc w:val="left"/>
        <w:textAlignment w:val="auto"/>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Times New Roman"/>
          <w:b/>
          <w:sz w:val="24"/>
          <w:szCs w:val="24"/>
        </w:rPr>
        <w:sectPr>
          <w:pgSz w:w="16838" w:h="11906" w:orient="landscape"/>
          <w:pgMar w:top="1797" w:right="1440" w:bottom="1797" w:left="1440" w:header="851" w:footer="1191" w:gutter="0"/>
          <w:cols w:space="720" w:num="1"/>
          <w:docGrid w:type="linesAndChars" w:linePitch="312" w:charSpace="0"/>
        </w:sect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30" w:name="_Toc10130_WPSOffice_Level1"/>
      <w:r>
        <w:rPr>
          <w:rFonts w:hint="eastAsia"/>
        </w:rPr>
        <w:t>十二</w:t>
      </w:r>
      <w:r>
        <w:t>、</w:t>
      </w:r>
      <w:r>
        <w:rPr>
          <w:rFonts w:hint="eastAsia"/>
        </w:rPr>
        <w:t>教学基本</w:t>
      </w:r>
      <w:r>
        <w:t>条件</w:t>
      </w:r>
      <w:bookmarkEnd w:id="30"/>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（一）学校条件</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1.学校导师条件</w:t>
      </w:r>
    </w:p>
    <w:p>
      <w:pPr>
        <w:pageBreakBefore w:val="0"/>
        <w:widowControl/>
        <w:shd w:val="clear" w:color="auto" w:fill="FFFFFF"/>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（1）具有高校教师资格证书；原则上具有行业企业相关工作经历和实践经验，具有研究生及以上学历或中级及以上专业技术职务，具有品类管理职业资格证书或双师型教师。</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（2）专业核心课程教师应具备“双师”证书及从教能力，连续3年独立完成专业主干课程（至少两门）教学任务。</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（3）具有良好的职业道德和协作意识，遵守学校和企业的各项规章制度，积极参与现代学徒制工作，责任心强。</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（4）了解连锁行业发展及市场需求，熟悉本专业学生主要就业岗位典型工作任务及能力要求。</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（5）具有运用专业知识解决实际问题的能力，具有创新思维、教学思路清晰，教学方法和内容能够满足学徒岗位技术能力提升要求。</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2.校内实训室</w:t>
      </w:r>
    </w:p>
    <w:p>
      <w:pPr>
        <w:keepNext/>
        <w:keepLines/>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bCs/>
          <w:sz w:val="24"/>
          <w:szCs w:val="24"/>
        </w:rPr>
      </w:pPr>
      <w:bookmarkStart w:id="31" w:name="_Toc313572895"/>
      <w:bookmarkStart w:id="32" w:name="_Toc22843"/>
      <w:bookmarkStart w:id="33" w:name="_Toc31654"/>
      <w:r>
        <w:rPr>
          <w:rFonts w:hint="eastAsia" w:ascii="宋体" w:hAnsi="宋体" w:eastAsia="宋体" w:cs="Times New Roman"/>
          <w:b/>
          <w:bCs/>
          <w:sz w:val="24"/>
          <w:szCs w:val="24"/>
        </w:rPr>
        <w:t>（1）校内实训基地建设</w:t>
      </w:r>
      <w:bookmarkEnd w:id="31"/>
    </w:p>
    <w:bookmarkEnd w:id="32"/>
    <w:bookmarkEnd w:id="33"/>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color w:val="333333"/>
          <w:sz w:val="24"/>
          <w:szCs w:val="24"/>
        </w:rPr>
      </w:pPr>
      <w:r>
        <w:rPr>
          <w:rFonts w:hint="eastAsia" w:ascii="宋体" w:hAnsi="宋体" w:eastAsia="宋体" w:cs="Times New Roman"/>
          <w:color w:val="333333"/>
          <w:sz w:val="24"/>
          <w:szCs w:val="24"/>
        </w:rPr>
        <w:t xml:space="preserve"> 已建有的实训室有：电子商务实训室３个，使用面积约500平米；计算机通讯实训室1个，面积150平米，商务综合实训室1个；市场营销实训室；60座语言训练室两个；建有全省最先进的普通话测试中心一个；多媒体教室、计算机机房充足。这些都为举办本专业提供了良好的实训条件。</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软件模拟实训室：市场营销软件模拟实训室、连锁经营软件模拟实训室、物流管理软件模拟实训室、电子商务软件模拟实训室，用于满足综合实训。</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新建连锁经营实训室。连锁经营实训室包括硬件部分和软件部分。连锁经营实训室的硬件部分主要包括：货架、堆头；POS收款机及扫描设备；电脑、超市货品。连锁经营实训室的软件部分包括：连锁经营实训系统、连锁总部采购与运营实训系统、连锁经营配送中心实训系统、连锁门店运营实训系统、连锁门店开发与设计实训系统等。通过连锁经营实训室的建设，为学生提供实践学习的模拟场所，提高学生的实际操作能力。</w:t>
      </w:r>
    </w:p>
    <w:p>
      <w:pPr>
        <w:pageBreakBefore w:val="0"/>
        <w:kinsoku/>
        <w:wordWrap/>
        <w:overflowPunct/>
        <w:topLinePunct w:val="0"/>
        <w:bidi w:val="0"/>
        <w:adjustRightInd w:val="0"/>
        <w:snapToGrid w:val="0"/>
        <w:spacing w:line="360" w:lineRule="auto"/>
        <w:ind w:left="0" w:leftChars="0" w:firstLine="482" w:firstLineChars="200"/>
        <w:textAlignment w:val="auto"/>
        <w:rPr>
          <w:rFonts w:ascii="宋体" w:hAnsi="宋体" w:eastAsia="宋体" w:cs="Times New Roman"/>
          <w:b/>
          <w:sz w:val="24"/>
          <w:szCs w:val="24"/>
        </w:rPr>
      </w:pPr>
      <w:r>
        <w:rPr>
          <w:rFonts w:hint="eastAsia" w:ascii="宋体" w:hAnsi="宋体" w:eastAsia="宋体" w:cs="Times New Roman"/>
          <w:b/>
          <w:sz w:val="24"/>
          <w:szCs w:val="24"/>
        </w:rPr>
        <w:t>（2）实训室及设施</w:t>
      </w:r>
    </w:p>
    <w:tbl>
      <w:tblPr>
        <w:tblStyle w:val="13"/>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077"/>
        <w:gridCol w:w="2835"/>
        <w:gridCol w:w="3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序号</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项目</w:t>
            </w:r>
          </w:p>
        </w:tc>
        <w:tc>
          <w:tcPr>
            <w:tcW w:w="2835"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主要功能</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1</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电子商务实训室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sz w:val="24"/>
                <w:szCs w:val="24"/>
              </w:rPr>
              <w:t>电子商务B2B实</w:t>
            </w:r>
            <w:r>
              <w:rPr>
                <w:rFonts w:hint="eastAsia" w:ascii="宋体" w:hAnsi="宋体" w:eastAsia="宋体" w:cs="Times New Roman"/>
                <w:sz w:val="24"/>
                <w:szCs w:val="24"/>
              </w:rPr>
              <w:t>训</w:t>
            </w:r>
            <w:r>
              <w:rPr>
                <w:rFonts w:ascii="宋体" w:hAnsi="宋体" w:eastAsia="宋体" w:cs="Times New Roman"/>
                <w:sz w:val="24"/>
                <w:szCs w:val="24"/>
              </w:rPr>
              <w:t xml:space="preserve">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w:t>
            </w:r>
            <w:r>
              <w:rPr>
                <w:rFonts w:ascii="宋体" w:hAnsi="宋体" w:eastAsia="宋体" w:cs="Times New Roman"/>
                <w:sz w:val="24"/>
                <w:szCs w:val="24"/>
              </w:rPr>
              <w:t>电子商务B2C实</w:t>
            </w:r>
            <w:r>
              <w:rPr>
                <w:rFonts w:hint="eastAsia" w:ascii="宋体" w:hAnsi="宋体" w:eastAsia="宋体" w:cs="Times New Roman"/>
                <w:sz w:val="24"/>
                <w:szCs w:val="24"/>
              </w:rPr>
              <w:t>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w:t>
            </w:r>
            <w:r>
              <w:rPr>
                <w:rFonts w:ascii="宋体" w:hAnsi="宋体" w:eastAsia="宋体" w:cs="Times New Roman"/>
                <w:sz w:val="24"/>
                <w:szCs w:val="24"/>
              </w:rPr>
              <w:t>电子商务C2C实</w:t>
            </w:r>
            <w:r>
              <w:rPr>
                <w:rFonts w:hint="eastAsia" w:ascii="宋体" w:hAnsi="宋体" w:eastAsia="宋体" w:cs="Times New Roman"/>
                <w:sz w:val="24"/>
                <w:szCs w:val="24"/>
              </w:rPr>
              <w:t>训</w:t>
            </w:r>
            <w:r>
              <w:rPr>
                <w:rFonts w:ascii="宋体" w:hAnsi="宋体" w:eastAsia="宋体" w:cs="Times New Roman"/>
                <w:sz w:val="24"/>
                <w:szCs w:val="24"/>
              </w:rPr>
              <w:t xml:space="preserve">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sz w:val="24"/>
                <w:szCs w:val="24"/>
              </w:rPr>
              <w:t>．</w:t>
            </w:r>
            <w:r>
              <w:rPr>
                <w:rFonts w:ascii="宋体" w:hAnsi="宋体" w:eastAsia="宋体" w:cs="Times New Roman"/>
                <w:sz w:val="24"/>
                <w:szCs w:val="24"/>
              </w:rPr>
              <w:t>物流管理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w:t>
            </w:r>
            <w:r>
              <w:rPr>
                <w:rFonts w:ascii="宋体" w:hAnsi="宋体" w:eastAsia="宋体" w:cs="Times New Roman"/>
                <w:sz w:val="24"/>
                <w:szCs w:val="24"/>
              </w:rPr>
              <w:t>网络银行及其管理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基本</w:t>
            </w:r>
            <w:r>
              <w:rPr>
                <w:rFonts w:ascii="宋体" w:hAnsi="宋体" w:eastAsia="宋体" w:cs="Times New Roman"/>
                <w:sz w:val="24"/>
                <w:szCs w:val="24"/>
              </w:rPr>
              <w:t>网络营销</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7</w:t>
            </w:r>
            <w:r>
              <w:rPr>
                <w:rFonts w:hint="eastAsia" w:ascii="宋体" w:hAnsi="宋体" w:eastAsia="宋体" w:cs="Times New Roman"/>
                <w:sz w:val="24"/>
                <w:szCs w:val="24"/>
              </w:rPr>
              <w:t>．</w:t>
            </w:r>
            <w:r>
              <w:rPr>
                <w:rFonts w:ascii="宋体" w:hAnsi="宋体" w:eastAsia="宋体" w:cs="Times New Roman"/>
                <w:sz w:val="24"/>
                <w:szCs w:val="24"/>
              </w:rPr>
              <w:t>CA认证</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8</w:t>
            </w:r>
            <w:r>
              <w:rPr>
                <w:rFonts w:hint="eastAsia" w:ascii="宋体" w:hAnsi="宋体" w:eastAsia="宋体" w:cs="Times New Roman"/>
                <w:sz w:val="24"/>
                <w:szCs w:val="24"/>
              </w:rPr>
              <w:t>．</w:t>
            </w:r>
            <w:r>
              <w:rPr>
                <w:rFonts w:ascii="宋体" w:hAnsi="宋体" w:eastAsia="宋体" w:cs="Times New Roman"/>
                <w:sz w:val="24"/>
                <w:szCs w:val="24"/>
              </w:rPr>
              <w:t>EDI应用模拟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9．电子商务平台开发</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服务器1台、教师用机1台、学生用机62台、投影仪1台、桌椅64套、电子商务实训软件1套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2</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物流管理实训室</w:t>
            </w:r>
          </w:p>
        </w:tc>
        <w:tc>
          <w:tcPr>
            <w:tcW w:w="2835"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Courier New"/>
                <w:bCs/>
                <w:sz w:val="24"/>
                <w:szCs w:val="24"/>
              </w:rPr>
            </w:pPr>
            <w:r>
              <w:rPr>
                <w:rFonts w:hint="eastAsia" w:ascii="宋体" w:hAnsi="宋体" w:eastAsia="宋体" w:cs="Courier New"/>
                <w:bCs/>
                <w:sz w:val="24"/>
                <w:szCs w:val="24"/>
              </w:rPr>
              <w:t>1.供应物流实训</w:t>
            </w:r>
            <w:r>
              <w:rPr>
                <w:rFonts w:ascii="宋体" w:hAnsi="宋体" w:eastAsia="宋体" w:cs="Courier New"/>
                <w:bCs/>
                <w:sz w:val="24"/>
                <w:szCs w:val="24"/>
              </w:rPr>
              <w:t>(</w:t>
            </w:r>
            <w:r>
              <w:rPr>
                <w:rFonts w:hint="eastAsia" w:ascii="宋体" w:hAnsi="宋体" w:eastAsia="宋体" w:cs="Courier New"/>
                <w:bCs/>
                <w:sz w:val="24"/>
                <w:szCs w:val="24"/>
              </w:rPr>
              <w:t>原材料采购、运输、入库、库存管理、</w:t>
            </w:r>
            <w:r>
              <w:rPr>
                <w:rFonts w:hint="eastAsia" w:ascii="宋体" w:hAnsi="宋体" w:eastAsia="宋体" w:cs="Times New Roman"/>
                <w:color w:val="444444"/>
                <w:sz w:val="24"/>
                <w:szCs w:val="24"/>
              </w:rPr>
              <w:t>配送</w:t>
            </w:r>
            <w:r>
              <w:rPr>
                <w:rFonts w:hint="eastAsia" w:ascii="宋体" w:hAnsi="宋体" w:eastAsia="宋体" w:cs="Courier New"/>
                <w:bCs/>
                <w:sz w:val="24"/>
                <w:szCs w:val="24"/>
              </w:rPr>
              <w:t>等)</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Courier New"/>
                <w:bCs/>
                <w:sz w:val="24"/>
                <w:szCs w:val="24"/>
              </w:rPr>
            </w:pPr>
            <w:r>
              <w:rPr>
                <w:rFonts w:hint="eastAsia" w:ascii="宋体" w:hAnsi="宋体" w:eastAsia="宋体" w:cs="Courier New"/>
                <w:bCs/>
                <w:sz w:val="24"/>
                <w:szCs w:val="24"/>
              </w:rPr>
              <w:t>2.销售物流实训</w:t>
            </w:r>
            <w:r>
              <w:rPr>
                <w:rFonts w:ascii="宋体" w:hAnsi="宋体" w:eastAsia="宋体" w:cs="Courier New"/>
                <w:bCs/>
                <w:sz w:val="24"/>
                <w:szCs w:val="24"/>
              </w:rPr>
              <w:t>(</w:t>
            </w:r>
            <w:r>
              <w:rPr>
                <w:rFonts w:hint="eastAsia" w:ascii="宋体" w:hAnsi="宋体" w:eastAsia="宋体" w:cs="Courier New"/>
                <w:bCs/>
                <w:sz w:val="24"/>
                <w:szCs w:val="24"/>
              </w:rPr>
              <w:t>超市</w:t>
            </w:r>
            <w:r>
              <w:rPr>
                <w:rFonts w:ascii="宋体" w:hAnsi="宋体" w:eastAsia="宋体" w:cs="Courier New"/>
                <w:bCs/>
                <w:sz w:val="24"/>
                <w:szCs w:val="24"/>
              </w:rPr>
              <w:t>/</w:t>
            </w:r>
            <w:r>
              <w:rPr>
                <w:rFonts w:hint="eastAsia" w:ascii="宋体" w:hAnsi="宋体" w:eastAsia="宋体" w:cs="Courier New"/>
                <w:bCs/>
                <w:sz w:val="24"/>
                <w:szCs w:val="24"/>
              </w:rPr>
              <w:t>商场配送)</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Courier New"/>
                <w:bCs/>
                <w:sz w:val="24"/>
                <w:szCs w:val="24"/>
              </w:rPr>
              <w:t>3.生产物流实训</w:t>
            </w:r>
            <w:r>
              <w:rPr>
                <w:rFonts w:ascii="宋体" w:hAnsi="宋体" w:eastAsia="宋体" w:cs="Courier New"/>
                <w:bCs/>
                <w:sz w:val="24"/>
                <w:szCs w:val="24"/>
              </w:rPr>
              <w:t>(</w:t>
            </w:r>
            <w:r>
              <w:rPr>
                <w:rFonts w:hint="eastAsia" w:ascii="宋体" w:hAnsi="宋体" w:eastAsia="宋体" w:cs="Courier New"/>
                <w:bCs/>
                <w:sz w:val="24"/>
                <w:szCs w:val="24"/>
              </w:rPr>
              <w:t>半成品在生产工序之间的流转)</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Times New Roman"/>
                <w:sz w:val="24"/>
                <w:szCs w:val="24"/>
              </w:rPr>
              <w:t>第三方物流管理系统1套、国际货代报关管理系统1套、供应链模拟系统1套、电子标签系统和自动分拣系统1套；POS系统2套、差速链装配线1条、RF手持终端1件、RFID读写器1套、RFID打印机1台、各种货架、堆垛机（含自动堆垛机1套）、堆垛车和托盘车、物流盒及物流模拟材料等若干设备；</w:t>
            </w:r>
            <w:r>
              <w:rPr>
                <w:rFonts w:hint="eastAsia" w:ascii="宋体" w:hAnsi="宋体" w:eastAsia="宋体" w:cs="宋体"/>
                <w:kern w:val="0"/>
                <w:sz w:val="24"/>
                <w:szCs w:val="24"/>
              </w:rPr>
              <w:t xml:space="preserve"> 计算机12台、服务器1台、投影仪1台、桌椅若干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3</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案例陈列实训室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1.经典案例（包括动态音视频案例）展示实训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2.案例分析与讨论实训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3.情景模拟实训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4.角色扮演实训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计算机1台、投影仪1台、音响设备1套、案例展板若干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4</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商务综合实训室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1．新闻发布实训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2．产品介绍与展示实训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3．商务礼仪实训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4．销售语言训练实训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5．商务谈判实训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计算机2台、投影仪2台、音响设备1套、新闻发布厅1间、模拟谈判室1间（含16套谈判桌椅）等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5</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市场营销模拟实训室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1.市场调研实训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2.市场细分实训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3.SWOT分析实训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4.竞争产品分析实训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5.产品策略实训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6.促销策略实训</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Times New Roman"/>
                <w:sz w:val="24"/>
                <w:szCs w:val="24"/>
              </w:rPr>
              <w:t>7.广告策略实训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计算机80台、投影仪1台、市场营销实训软件1套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6</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连锁经营模拟实训室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1.连锁基本资料管理实训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2.进货管理实训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3.销售管理实训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4.库存管理实训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5.进销存报表及分析实训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6.供应商结算管理实训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7.卡类管理实训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8.财务接口管理实训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9.供应商网上查询实训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FF0000"/>
                <w:sz w:val="24"/>
                <w:szCs w:val="24"/>
              </w:rPr>
              <w:t>10.红府超市顶岗超市</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计算机54台、投影仪1台、连锁经营实训软件1套</w:t>
            </w:r>
          </w:p>
        </w:tc>
      </w:tr>
    </w:tbl>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（二）企业条件</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1.企业导师条件</w:t>
      </w:r>
    </w:p>
    <w:p>
      <w:pPr>
        <w:pageBreakBefore w:val="0"/>
        <w:widowControl/>
        <w:shd w:val="clear" w:color="auto" w:fill="FFFFFF"/>
        <w:kinsoku/>
        <w:wordWrap/>
        <w:overflowPunct/>
        <w:topLinePunct w:val="0"/>
        <w:bidi w:val="0"/>
        <w:adjustRightInd w:val="0"/>
        <w:snapToGrid w:val="0"/>
        <w:spacing w:line="360" w:lineRule="auto"/>
        <w:ind w:left="0" w:leftChars="0" w:firstLine="465"/>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（1）身体健康，从事本行业工龄5年以上且年龄不超过45周岁的企业正式员工，原则上具有大专及以上学历或中级及以上职业技术资格等级；</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（2）具有良好的职业道德和协作意识，工作积极，具有奉献精神，能服从学校和企业的管理，遵守企业和学校的各项教学规章制度；</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（3）企业中高级技术人员，有较丰富的岗位教学与管理经验，熟悉安全文明标准化管理。</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2.岗位培养条件</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企业组织架构完整，管理制度健全，企业员工200人以上，内部培养自成体系，岗位管理规范；能按人才培养要求提供学徒岗位，且岗位培养的设施设备条件与学徒匹配，基本能满足学徒岗位培养要求。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（1）教学场地条件。场地功能布局合理，教学设施设备先进，有集中学习的教室，可满足课程教学及岗位技能考核要求。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（2）岗位培养制度完善。建立并完善定期开展职业岗位能力提升的机制。如企业文化培训、技术操作规范、职业心态调整培训等。</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（3）人才培养体系独立、内容完整。包括课程管理、师资管理、岗位职业能力考核评价管理等。</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（4）课程及教学形式丰富。包括入职培训、在岗培养课程，基层员工、中层管理人员能力提升课程等。教学形式有集中教学，导师现场指导等。</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bookmarkStart w:id="34" w:name="_Toc6072_WPSOffice_Level1"/>
      <w:r>
        <w:rPr>
          <w:rFonts w:hint="eastAsia" w:ascii="宋体" w:hAnsi="宋体" w:eastAsia="宋体" w:cs="Times New Roman"/>
          <w:b/>
          <w:sz w:val="24"/>
          <w:szCs w:val="24"/>
        </w:rPr>
        <w:t>十三、教学实施建议</w:t>
      </w:r>
      <w:bookmarkEnd w:id="34"/>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公共基础课要符合教育部有关教学的基本要求，重在培养学生的文化素养，服务学生专业学习和终身发展，突出“以学生为中心”的理念，强调学以致用，以学生综合素质的提高，自我学习能力的提升、职业素养的形成和可持续发展奠定基础。</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专业课程的教学按照职业岗位的能力要求，充分体现双主体育人、双场所教学、校企一体化的现代学徒制特征。采用项目导向、案例分析、任务驱动、模拟教学、任务训练、角色扮演等教学法，教学内容与安排遵循学徒认知规律及适合学徒工学交替的学习形式要求，发挥校企导师各自的教学优势，通过课程教学、基本技能训练、岗位培养，不断提高学生的专业能力和综合素质，以满足企业岗位要求。在教学过程中，可通过数字化资源、教学资源的开发与使用，结合岗位工作案例，提高课程教学效果。</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教学组织形式</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color w:val="00B0F0"/>
          <w:sz w:val="24"/>
          <w:szCs w:val="24"/>
        </w:rPr>
      </w:pPr>
      <w:r>
        <w:rPr>
          <w:rFonts w:hint="eastAsia" w:ascii="宋体" w:hAnsi="宋体" w:eastAsia="宋体" w:cs="Times New Roman"/>
          <w:sz w:val="24"/>
          <w:szCs w:val="24"/>
        </w:rPr>
        <w:t>学徒的学习是在企业中的实训和课堂上的学习有机结合，一般实行校企合作、工学结合的形式。以三年学制计算，学生1/3的时间在企业接受培训，2/3的时间在学校学习理论知识和专业技能。我院现代学徒制教学模式主要采用工学交替的形式，第1-5学期，主要在学校学习理论知识和掌握最基本的技能，其中</w:t>
      </w:r>
      <w:r>
        <w:rPr>
          <w:rFonts w:hint="eastAsia" w:ascii="宋体" w:hAnsi="宋体" w:eastAsia="宋体" w:cs="Times New Roman"/>
          <w:b/>
          <w:sz w:val="24"/>
          <w:szCs w:val="24"/>
        </w:rPr>
        <w:t>3-5</w:t>
      </w:r>
      <w:r>
        <w:rPr>
          <w:rFonts w:hint="eastAsia" w:ascii="宋体" w:hAnsi="宋体" w:eastAsia="宋体" w:cs="Times New Roman"/>
          <w:sz w:val="24"/>
          <w:szCs w:val="24"/>
        </w:rPr>
        <w:t>学期每学期均安排6周，第三学期每周安排2天企业学习，第四、第五学期每周安排</w:t>
      </w:r>
      <w:r>
        <w:rPr>
          <w:rFonts w:ascii="宋体" w:hAnsi="宋体" w:eastAsia="宋体" w:cs="Times New Roman"/>
          <w:sz w:val="24"/>
          <w:szCs w:val="24"/>
        </w:rPr>
        <w:t>3</w:t>
      </w:r>
      <w:r>
        <w:rPr>
          <w:rFonts w:hint="eastAsia" w:ascii="宋体" w:hAnsi="宋体" w:eastAsia="宋体" w:cs="Times New Roman"/>
          <w:sz w:val="24"/>
          <w:szCs w:val="24"/>
        </w:rPr>
        <w:t>天企业学习，在企业进行“项目实训”或“轮岗实训”，第6学期通过双选到企业进行“顶岗实习”。</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学业评价</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双导师共同制定考核评价标准，形成学生、学校、企业三方共同评价的考核评价体系，以专业技术能力考核及客户评价为主，考核中不仅关注学生对连锁管理专业知识的理解和技能的掌握，更重要的是关注学生在实践中运用知识解决实际问题的能力和水平，重视岗位规范操作、安全意识等职业素质的养成教育，以及团队合作、吃苦耐劳职业精神的培养。实践环节以工作能力评价、工作绩效评价为主要考核依据。</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考核评价方式有笔试、任务考核、绩效考核等，根据课程不同，每门课采取以上一种或多种方式进行，考核成绩的比重由“双导师”团队依据课程目标自行设计。</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教学管理</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教学管理实行双主体三级负责制，在学校，学校是教学管理的主体。在分管校长的领导下，由学校、二级学院、教研室对人才培养质量诸要素和教学过程各环节进行管理监控、检查、评价及反馈和调整。在企业，企业是教学管理的主体。企业负责人、人力资源部、培训部对学徒学习过程的各环节进行监控、考核评价及反馈。</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通过“四双共管”，加强教学管理的效果，即双专业负责人、双班主任、双导师、双身份。责任到人，分工协作。学校专业负责人进行教学安排，企业专业负责人负责制定集中培训、任务训练及在岗培养计划。学校班主任负责学生的学习考勤管理，企业班主任负责学生的岗位考勤管理。双导师负责课堂和岗位学习管理及考核评价；学徒双身份既遵守学校学生管理规定，又执行企业员工管理制度。</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质量监控</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建立科学的质量管理体系，实行学分制管理，学生必须按照要求修完规定的学分才能毕业。教学质量监控纳入学校督导管理系统及企业员工培训考核管理体系。</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（1）校企共同组建现代学徒制教学管理组织协调结构，配合教务处、二级学院对日常教学运行及课程建设进行管理和监控，及时解决教学中出现的问题。</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（2）教务处、教学督导处不定期组织人员到企业进行现场听课、组织学生座谈、查阅教学文件和相关记录，开展评教评学活动。</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（3）企业进行定期和不定期的岗位巡视，检查学徒学习情况，及时反馈教学中出现的问题。</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35" w:name="_Toc18307_WPSOffice_Level1"/>
      <w:r>
        <w:rPr>
          <w:rFonts w:hint="eastAsia"/>
        </w:rPr>
        <w:t>附录：开发团队</w:t>
      </w:r>
      <w:bookmarkEnd w:id="35"/>
    </w:p>
    <w:p>
      <w:pPr>
        <w:pageBreakBefore w:val="0"/>
        <w:numPr>
          <w:ilvl w:val="0"/>
          <w:numId w:val="13"/>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行业企业开发团队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表11  行业企业专家团队</w:t>
      </w:r>
    </w:p>
    <w:tbl>
      <w:tblPr>
        <w:tblStyle w:val="13"/>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3588"/>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序号</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姓 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行政职务</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付彬</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大区总经理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唐银川</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李明峰</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刘强</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生鲜营运总监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吕红卫</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color w:val="000000"/>
                <w:sz w:val="24"/>
                <w:szCs w:val="24"/>
              </w:rPr>
            </w:pPr>
            <w:r>
              <w:rPr>
                <w:rFonts w:hint="eastAsia" w:ascii="宋体" w:hAnsi="宋体" w:eastAsia="宋体" w:cs="Times New Roman"/>
                <w:color w:val="000000"/>
                <w:sz w:val="24"/>
                <w:szCs w:val="24"/>
              </w:rPr>
              <w:t>食百营运总监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吴晓波</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人事总监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戚丽丽</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人事经理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高茂平</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财务总监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9</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曹国翠</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品牌维护经理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10</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李泉飞</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生鲜区助</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付海江</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 xml:space="preserve"> </w:t>
            </w:r>
            <w:r>
              <w:rPr>
                <w:rFonts w:ascii="宋体" w:hAnsi="宋体" w:eastAsia="宋体" w:cs="Times New Roman"/>
                <w:color w:val="000000"/>
                <w:sz w:val="24"/>
                <w:szCs w:val="24"/>
              </w:rPr>
              <w:t xml:space="preserve">          食百区助</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李英雄</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食百食品店长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颜露</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食百食品店长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郑诗武</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食百用品店长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陈傲</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齐东宇</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曹颉</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李俊</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总经理</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安徽苏宁连锁有限公司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19</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赵坤</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人事总监</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苏宁云商</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numPr>
          <w:ilvl w:val="0"/>
          <w:numId w:val="13"/>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学校教师团队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表12  行业企业专家团队</w:t>
      </w:r>
    </w:p>
    <w:tbl>
      <w:tblPr>
        <w:tblStyle w:val="13"/>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3588"/>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序号</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姓 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行政职务</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李祖武</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管理学院院长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朱小龙</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管理学院副院长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时应峰</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经贸教研室主任、专业负责人</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方芳</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连锁教研室副主任、讲师、专任教师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张显萍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副教授、专任教师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徐琴</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color w:val="000000"/>
                <w:sz w:val="24"/>
                <w:szCs w:val="24"/>
              </w:rPr>
            </w:pPr>
            <w:r>
              <w:rPr>
                <w:rFonts w:hint="eastAsia" w:ascii="宋体" w:hAnsi="宋体" w:eastAsia="宋体" w:cs="Times New Roman"/>
                <w:color w:val="000000"/>
                <w:kern w:val="0"/>
                <w:sz w:val="24"/>
                <w:szCs w:val="24"/>
              </w:rPr>
              <w:t>副教授、专任教师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马妮娜</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刘帅</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金鑫</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助教、专任教师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Times New Roman" w:hAnsi="Times New Roman" w:eastAsia="宋体" w:cs="Times New Roman"/>
          <w:sz w:val="28"/>
          <w:szCs w:val="28"/>
        </w:rPr>
      </w:pPr>
    </w:p>
    <w:p>
      <w:pPr>
        <w:pageBreakBefore w:val="0"/>
        <w:kinsoku/>
        <w:wordWrap/>
        <w:overflowPunct/>
        <w:topLinePunct w:val="0"/>
        <w:bidi w:val="0"/>
        <w:adjustRightInd w:val="0"/>
        <w:snapToGrid w:val="0"/>
        <w:spacing w:line="360" w:lineRule="auto"/>
        <w:ind w:left="0" w:leftChars="0"/>
        <w:textAlignment w:val="auto"/>
        <w:rPr>
          <w:rFonts w:hint="eastAsia" w:ascii="Times New Roman" w:hAnsi="Times New Roman" w:eastAsia="宋体" w:cs="Times New Roman"/>
          <w:sz w:val="28"/>
          <w:szCs w:val="28"/>
        </w:rPr>
      </w:pPr>
    </w:p>
    <w:p>
      <w:pPr>
        <w:adjustRightInd w:val="0"/>
        <w:snapToGrid w:val="0"/>
        <w:spacing w:line="36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Century Gothic">
    <w:altName w:val="NumberOnly"/>
    <w:panose1 w:val="020B0502020202020204"/>
    <w:charset w:val="00"/>
    <w:family w:val="swiss"/>
    <w:pitch w:val="default"/>
    <w:sig w:usb0="00000000" w:usb1="00000000" w:usb2="00000000" w:usb3="00000000" w:csb0="0000009F" w:csb1="00000000"/>
  </w:font>
  <w:font w:name="等线 Light">
    <w:altName w:val="宋体"/>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NumberOnly">
    <w:panose1 w:val="020B0500000000000000"/>
    <w:charset w:val="00"/>
    <w:family w:val="auto"/>
    <w:pitch w:val="default"/>
    <w:sig w:usb0="8000002F" w:usb1="10000048" w:usb2="00000000" w:usb3="00000000" w:csb0="0000011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876391"/>
      <w:docPartObj>
        <w:docPartGallery w:val="autotext"/>
      </w:docPartObj>
    </w:sdtPr>
    <w:sdtContent>
      <w:p>
        <w:pPr>
          <w:pStyle w:val="9"/>
          <w:jc w:val="center"/>
        </w:pPr>
        <w:r>
          <w:fldChar w:fldCharType="begin"/>
        </w:r>
        <w:r>
          <w:instrText xml:space="preserve">PAGE   \* MERGEFORMAT</w:instrText>
        </w:r>
        <w:r>
          <w:fldChar w:fldCharType="separate"/>
        </w:r>
        <w:r>
          <w:rPr>
            <w:lang w:val="zh-CN"/>
          </w:rPr>
          <w:t>27</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outside" w:y="1"/>
      <w:rPr>
        <w:rStyle w:val="16"/>
      </w:rPr>
    </w:pPr>
    <w:r>
      <w:fldChar w:fldCharType="begin"/>
    </w:r>
    <w:r>
      <w:rPr>
        <w:rStyle w:val="16"/>
      </w:rPr>
      <w:instrText xml:space="preserve">PAGE  </w:instrText>
    </w:r>
    <w:r>
      <w:fldChar w:fldCharType="separate"/>
    </w:r>
    <w:r>
      <w:rPr>
        <w:rStyle w:val="16"/>
      </w:rPr>
      <w:t>1</w:t>
    </w:r>
    <w:r>
      <w:fldChar w:fldCharType="end"/>
    </w:r>
  </w:p>
  <w:p>
    <w:pPr>
      <w:pStyle w:val="2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210" w:leftChars="100" w:right="210" w:rightChars="100"/>
      <w:rPr>
        <w:rFonts w:ascii="宋体"/>
        <w:b/>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876391"/>
      <w:docPartObj>
        <w:docPartGallery w:val="autotext"/>
      </w:docPartObj>
    </w:sdtPr>
    <w:sdtContent>
      <w:p>
        <w:pPr>
          <w:pStyle w:val="9"/>
          <w:jc w:val="center"/>
        </w:pPr>
        <w:r>
          <w:fldChar w:fldCharType="begin"/>
        </w:r>
        <w:r>
          <w:instrText xml:space="preserve">PAGE   \* MERGEFORMAT</w:instrText>
        </w:r>
        <w:r>
          <w:fldChar w:fldCharType="separate"/>
        </w:r>
        <w:r>
          <w:rPr>
            <w:lang w:val="zh-CN"/>
          </w:rPr>
          <w:t>27</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47261"/>
    <w:multiLevelType w:val="multilevel"/>
    <w:tmpl w:val="18A4726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37D240D"/>
    <w:multiLevelType w:val="multilevel"/>
    <w:tmpl w:val="237D240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8533F7E"/>
    <w:multiLevelType w:val="multilevel"/>
    <w:tmpl w:val="28533F7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E326A4B"/>
    <w:multiLevelType w:val="multilevel"/>
    <w:tmpl w:val="2E326A4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849014F"/>
    <w:multiLevelType w:val="multilevel"/>
    <w:tmpl w:val="3849014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19E19AA"/>
    <w:multiLevelType w:val="multilevel"/>
    <w:tmpl w:val="419E19A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48760F17"/>
    <w:multiLevelType w:val="multilevel"/>
    <w:tmpl w:val="48760F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A2544C9"/>
    <w:multiLevelType w:val="multilevel"/>
    <w:tmpl w:val="4A2544C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59ED34B5"/>
    <w:multiLevelType w:val="multilevel"/>
    <w:tmpl w:val="59ED34B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696F0B89"/>
    <w:multiLevelType w:val="multilevel"/>
    <w:tmpl w:val="696F0B89"/>
    <w:lvl w:ilvl="0" w:tentative="0">
      <w:start w:val="1"/>
      <w:numFmt w:val="japaneseCounting"/>
      <w:lvlText w:val="（%1）"/>
      <w:lvlJc w:val="left"/>
      <w:pPr>
        <w:ind w:left="1205" w:hanging="750"/>
      </w:pPr>
      <w:rPr>
        <w:rFonts w:hint="default"/>
      </w:rPr>
    </w:lvl>
    <w:lvl w:ilvl="1" w:tentative="0">
      <w:start w:val="1"/>
      <w:numFmt w:val="lowerLetter"/>
      <w:lvlText w:val="%2)"/>
      <w:lvlJc w:val="left"/>
      <w:pPr>
        <w:ind w:left="1295" w:hanging="420"/>
      </w:pPr>
    </w:lvl>
    <w:lvl w:ilvl="2" w:tentative="0">
      <w:start w:val="1"/>
      <w:numFmt w:val="lowerRoman"/>
      <w:lvlText w:val="%3."/>
      <w:lvlJc w:val="right"/>
      <w:pPr>
        <w:ind w:left="1715" w:hanging="420"/>
      </w:pPr>
    </w:lvl>
    <w:lvl w:ilvl="3" w:tentative="0">
      <w:start w:val="1"/>
      <w:numFmt w:val="decimal"/>
      <w:lvlText w:val="%4."/>
      <w:lvlJc w:val="left"/>
      <w:pPr>
        <w:ind w:left="2135" w:hanging="420"/>
      </w:pPr>
    </w:lvl>
    <w:lvl w:ilvl="4" w:tentative="0">
      <w:start w:val="1"/>
      <w:numFmt w:val="lowerLetter"/>
      <w:lvlText w:val="%5)"/>
      <w:lvlJc w:val="left"/>
      <w:pPr>
        <w:ind w:left="2555" w:hanging="420"/>
      </w:pPr>
    </w:lvl>
    <w:lvl w:ilvl="5" w:tentative="0">
      <w:start w:val="1"/>
      <w:numFmt w:val="lowerRoman"/>
      <w:lvlText w:val="%6."/>
      <w:lvlJc w:val="right"/>
      <w:pPr>
        <w:ind w:left="2975" w:hanging="420"/>
      </w:pPr>
    </w:lvl>
    <w:lvl w:ilvl="6" w:tentative="0">
      <w:start w:val="1"/>
      <w:numFmt w:val="decimal"/>
      <w:lvlText w:val="%7."/>
      <w:lvlJc w:val="left"/>
      <w:pPr>
        <w:ind w:left="3395" w:hanging="420"/>
      </w:pPr>
    </w:lvl>
    <w:lvl w:ilvl="7" w:tentative="0">
      <w:start w:val="1"/>
      <w:numFmt w:val="lowerLetter"/>
      <w:lvlText w:val="%8)"/>
      <w:lvlJc w:val="left"/>
      <w:pPr>
        <w:ind w:left="3815" w:hanging="420"/>
      </w:pPr>
    </w:lvl>
    <w:lvl w:ilvl="8" w:tentative="0">
      <w:start w:val="1"/>
      <w:numFmt w:val="lowerRoman"/>
      <w:lvlText w:val="%9."/>
      <w:lvlJc w:val="right"/>
      <w:pPr>
        <w:ind w:left="4235" w:hanging="420"/>
      </w:pPr>
    </w:lvl>
  </w:abstractNum>
  <w:abstractNum w:abstractNumId="10">
    <w:nsid w:val="6C8A4864"/>
    <w:multiLevelType w:val="multilevel"/>
    <w:tmpl w:val="6C8A4864"/>
    <w:lvl w:ilvl="0" w:tentative="0">
      <w:start w:val="1"/>
      <w:numFmt w:val="japaneseCounting"/>
      <w:lvlText w:val="（%1）"/>
      <w:lvlJc w:val="left"/>
      <w:pPr>
        <w:ind w:left="1205" w:hanging="750"/>
      </w:pPr>
      <w:rPr>
        <w:rFonts w:hint="default"/>
      </w:rPr>
    </w:lvl>
    <w:lvl w:ilvl="1" w:tentative="0">
      <w:start w:val="1"/>
      <w:numFmt w:val="lowerLetter"/>
      <w:lvlText w:val="%2)"/>
      <w:lvlJc w:val="left"/>
      <w:pPr>
        <w:ind w:left="1295" w:hanging="420"/>
      </w:pPr>
    </w:lvl>
    <w:lvl w:ilvl="2" w:tentative="0">
      <w:start w:val="1"/>
      <w:numFmt w:val="lowerRoman"/>
      <w:lvlText w:val="%3."/>
      <w:lvlJc w:val="right"/>
      <w:pPr>
        <w:ind w:left="1715" w:hanging="420"/>
      </w:pPr>
    </w:lvl>
    <w:lvl w:ilvl="3" w:tentative="0">
      <w:start w:val="1"/>
      <w:numFmt w:val="decimal"/>
      <w:lvlText w:val="%4."/>
      <w:lvlJc w:val="left"/>
      <w:pPr>
        <w:ind w:left="2135" w:hanging="420"/>
      </w:pPr>
    </w:lvl>
    <w:lvl w:ilvl="4" w:tentative="0">
      <w:start w:val="1"/>
      <w:numFmt w:val="lowerLetter"/>
      <w:lvlText w:val="%5)"/>
      <w:lvlJc w:val="left"/>
      <w:pPr>
        <w:ind w:left="2555" w:hanging="420"/>
      </w:pPr>
    </w:lvl>
    <w:lvl w:ilvl="5" w:tentative="0">
      <w:start w:val="1"/>
      <w:numFmt w:val="lowerRoman"/>
      <w:lvlText w:val="%6."/>
      <w:lvlJc w:val="right"/>
      <w:pPr>
        <w:ind w:left="2975" w:hanging="420"/>
      </w:pPr>
    </w:lvl>
    <w:lvl w:ilvl="6" w:tentative="0">
      <w:start w:val="1"/>
      <w:numFmt w:val="decimal"/>
      <w:lvlText w:val="%7."/>
      <w:lvlJc w:val="left"/>
      <w:pPr>
        <w:ind w:left="3395" w:hanging="420"/>
      </w:pPr>
    </w:lvl>
    <w:lvl w:ilvl="7" w:tentative="0">
      <w:start w:val="1"/>
      <w:numFmt w:val="lowerLetter"/>
      <w:lvlText w:val="%8)"/>
      <w:lvlJc w:val="left"/>
      <w:pPr>
        <w:ind w:left="3815" w:hanging="420"/>
      </w:pPr>
    </w:lvl>
    <w:lvl w:ilvl="8" w:tentative="0">
      <w:start w:val="1"/>
      <w:numFmt w:val="lowerRoman"/>
      <w:lvlText w:val="%9."/>
      <w:lvlJc w:val="right"/>
      <w:pPr>
        <w:ind w:left="4235" w:hanging="420"/>
      </w:pPr>
    </w:lvl>
  </w:abstractNum>
  <w:abstractNum w:abstractNumId="11">
    <w:nsid w:val="72BE3848"/>
    <w:multiLevelType w:val="multilevel"/>
    <w:tmpl w:val="72BE384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7A4876EE"/>
    <w:multiLevelType w:val="multilevel"/>
    <w:tmpl w:val="7A4876E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1"/>
  </w:num>
  <w:num w:numId="2">
    <w:abstractNumId w:val="5"/>
  </w:num>
  <w:num w:numId="3">
    <w:abstractNumId w:val="2"/>
  </w:num>
  <w:num w:numId="4">
    <w:abstractNumId w:val="0"/>
  </w:num>
  <w:num w:numId="5">
    <w:abstractNumId w:val="12"/>
  </w:num>
  <w:num w:numId="6">
    <w:abstractNumId w:val="7"/>
  </w:num>
  <w:num w:numId="7">
    <w:abstractNumId w:val="1"/>
  </w:num>
  <w:num w:numId="8">
    <w:abstractNumId w:val="3"/>
  </w:num>
  <w:num w:numId="9">
    <w:abstractNumId w:val="4"/>
  </w:num>
  <w:num w:numId="10">
    <w:abstractNumId w:val="6"/>
  </w:num>
  <w:num w:numId="11">
    <w:abstractNumId w:val="8"/>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D79"/>
    <w:rsid w:val="00103D4D"/>
    <w:rsid w:val="006A2229"/>
    <w:rsid w:val="00783810"/>
    <w:rsid w:val="009D44A0"/>
    <w:rsid w:val="009F09FA"/>
    <w:rsid w:val="00C16F7E"/>
    <w:rsid w:val="00E54B26"/>
    <w:rsid w:val="00F70D79"/>
    <w:rsid w:val="01992270"/>
    <w:rsid w:val="19177AA5"/>
    <w:rsid w:val="27797D01"/>
    <w:rsid w:val="392673B6"/>
    <w:rsid w:val="3E572DE1"/>
    <w:rsid w:val="41E86B89"/>
    <w:rsid w:val="489B2C48"/>
    <w:rsid w:val="525D674A"/>
    <w:rsid w:val="700A1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ind w:leftChars="300"/>
      <w:outlineLvl w:val="0"/>
    </w:pPr>
    <w:rPr>
      <w:rFonts w:eastAsia="宋体" w:asciiTheme="minorAscii" w:hAnsiTheme="minorAscii"/>
      <w:b/>
      <w:kern w:val="44"/>
      <w:sz w:val="32"/>
    </w:rPr>
  </w:style>
  <w:style w:type="paragraph" w:styleId="3">
    <w:name w:val="heading 2"/>
    <w:basedOn w:val="1"/>
    <w:next w:val="1"/>
    <w:link w:val="36"/>
    <w:semiHidden/>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0"/>
    <w:pPr>
      <w:keepNext/>
      <w:keepLines/>
      <w:spacing w:before="260" w:after="260" w:line="413" w:lineRule="auto"/>
      <w:outlineLvl w:val="2"/>
    </w:pPr>
    <w:rPr>
      <w:rFonts w:ascii="Times New Roman" w:hAnsi="Times New Roman" w:eastAsia="黑体" w:cs="Times New Roman"/>
      <w:b/>
      <w:szCs w:val="20"/>
    </w:rPr>
  </w:style>
  <w:style w:type="character" w:default="1" w:styleId="15">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link w:val="35"/>
    <w:semiHidden/>
    <w:unhideWhenUsed/>
    <w:qFormat/>
    <w:uiPriority w:val="99"/>
    <w:pPr>
      <w:spacing w:after="120"/>
      <w:ind w:left="420" w:leftChars="200"/>
    </w:pPr>
    <w:rPr>
      <w:rFonts w:ascii="Times New Roman" w:hAnsi="Times New Roman" w:eastAsia="仿宋_GB2312" w:cs="Times New Roman"/>
      <w:sz w:val="32"/>
      <w:szCs w:val="20"/>
    </w:rPr>
  </w:style>
  <w:style w:type="paragraph" w:styleId="6">
    <w:name w:val="Plain Text"/>
    <w:basedOn w:val="1"/>
    <w:link w:val="38"/>
    <w:semiHidden/>
    <w:unhideWhenUsed/>
    <w:qFormat/>
    <w:uiPriority w:val="0"/>
    <w:rPr>
      <w:rFonts w:ascii="宋体" w:hAnsi="Courier New" w:cs="Courier New"/>
      <w:szCs w:val="21"/>
    </w:rPr>
  </w:style>
  <w:style w:type="paragraph" w:styleId="7">
    <w:name w:val="Date"/>
    <w:basedOn w:val="1"/>
    <w:next w:val="1"/>
    <w:link w:val="17"/>
    <w:semiHidden/>
    <w:unhideWhenUsed/>
    <w:qFormat/>
    <w:uiPriority w:val="99"/>
    <w:pPr>
      <w:ind w:left="100" w:leftChars="2500"/>
    </w:pPr>
  </w:style>
  <w:style w:type="paragraph" w:styleId="8">
    <w:name w:val="Balloon Text"/>
    <w:basedOn w:val="1"/>
    <w:link w:val="27"/>
    <w:semiHidden/>
    <w:unhideWhenUsed/>
    <w:uiPriority w:val="99"/>
    <w:rPr>
      <w:rFonts w:ascii="Times New Roman" w:hAnsi="Times New Roman" w:eastAsia="仿宋_GB2312" w:cs="Times New Roman"/>
      <w:sz w:val="18"/>
      <w:szCs w:val="18"/>
    </w:rPr>
  </w:style>
  <w:style w:type="paragraph" w:styleId="9">
    <w:name w:val="footer"/>
    <w:basedOn w:val="1"/>
    <w:link w:val="37"/>
    <w:unhideWhenUsed/>
    <w:qFormat/>
    <w:uiPriority w:val="99"/>
    <w:pPr>
      <w:tabs>
        <w:tab w:val="center" w:pos="4153"/>
        <w:tab w:val="right" w:pos="8306"/>
      </w:tabs>
      <w:snapToGrid w:val="0"/>
      <w:jc w:val="left"/>
    </w:pPr>
    <w:rPr>
      <w:rFonts w:eastAsia="仿宋_GB2312"/>
      <w:sz w:val="18"/>
    </w:rPr>
  </w:style>
  <w:style w:type="paragraph" w:styleId="10">
    <w:name w:val="header"/>
    <w:basedOn w:val="1"/>
    <w:link w:val="34"/>
    <w:unhideWhenUsed/>
    <w:qFormat/>
    <w:uiPriority w:val="99"/>
    <w:pPr>
      <w:pBdr>
        <w:bottom w:val="single" w:color="auto" w:sz="6" w:space="1"/>
      </w:pBdr>
      <w:tabs>
        <w:tab w:val="center" w:pos="4153"/>
        <w:tab w:val="right" w:pos="8306"/>
      </w:tabs>
      <w:snapToGrid w:val="0"/>
      <w:jc w:val="center"/>
    </w:pPr>
    <w:rPr>
      <w:rFonts w:ascii="Times New Roman" w:hAnsi="Times New Roman" w:eastAsia="仿宋_GB2312" w:cs="Times New Roman"/>
      <w:sz w:val="18"/>
      <w:szCs w:val="18"/>
    </w:rPr>
  </w:style>
  <w:style w:type="paragraph" w:styleId="11">
    <w:name w:val="Body Text Indent 3"/>
    <w:basedOn w:val="1"/>
    <w:link w:val="33"/>
    <w:qFormat/>
    <w:uiPriority w:val="0"/>
    <w:pPr>
      <w:spacing w:after="120"/>
      <w:ind w:left="420" w:leftChars="200"/>
    </w:pPr>
    <w:rPr>
      <w:rFonts w:ascii="Times New Roman" w:hAnsi="Times New Roman" w:eastAsia="宋体" w:cs="Times New Roman"/>
      <w:sz w:val="16"/>
      <w:szCs w:val="20"/>
    </w:rPr>
  </w:style>
  <w:style w:type="paragraph" w:styleId="12">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table" w:styleId="14">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page number"/>
    <w:basedOn w:val="15"/>
    <w:qFormat/>
    <w:uiPriority w:val="99"/>
  </w:style>
  <w:style w:type="character" w:customStyle="1" w:styleId="17">
    <w:name w:val="日期 字符"/>
    <w:basedOn w:val="15"/>
    <w:link w:val="7"/>
    <w:semiHidden/>
    <w:uiPriority w:val="99"/>
  </w:style>
  <w:style w:type="paragraph" w:customStyle="1" w:styleId="18">
    <w:name w:val="标题 21"/>
    <w:basedOn w:val="1"/>
    <w:next w:val="1"/>
    <w:semiHidden/>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customStyle="1" w:styleId="19">
    <w:name w:val="标题 3 字符"/>
    <w:basedOn w:val="15"/>
    <w:link w:val="4"/>
    <w:uiPriority w:val="0"/>
    <w:rPr>
      <w:rFonts w:ascii="Times New Roman" w:hAnsi="Times New Roman" w:eastAsia="黑体" w:cs="Times New Roman"/>
      <w:b/>
      <w:szCs w:val="20"/>
    </w:rPr>
  </w:style>
  <w:style w:type="character" w:customStyle="1" w:styleId="20">
    <w:name w:val="标题 2 字符"/>
    <w:basedOn w:val="15"/>
    <w:link w:val="3"/>
    <w:semiHidden/>
    <w:uiPriority w:val="9"/>
    <w:rPr>
      <w:rFonts w:ascii="Cambria" w:hAnsi="Cambria" w:eastAsia="宋体" w:cs="Times New Roman"/>
      <w:b/>
      <w:bCs/>
      <w:sz w:val="32"/>
      <w:szCs w:val="32"/>
    </w:rPr>
  </w:style>
  <w:style w:type="character" w:customStyle="1" w:styleId="21">
    <w:name w:val="页脚 字符"/>
    <w:link w:val="9"/>
    <w:qFormat/>
    <w:uiPriority w:val="99"/>
    <w:rPr>
      <w:rFonts w:eastAsia="仿宋_GB2312"/>
      <w:sz w:val="18"/>
    </w:rPr>
  </w:style>
  <w:style w:type="paragraph" w:customStyle="1" w:styleId="22">
    <w:name w:val="页脚1"/>
    <w:basedOn w:val="1"/>
    <w:next w:val="9"/>
    <w:qFormat/>
    <w:uiPriority w:val="99"/>
    <w:pPr>
      <w:tabs>
        <w:tab w:val="center" w:pos="4153"/>
        <w:tab w:val="right" w:pos="8306"/>
      </w:tabs>
      <w:snapToGrid w:val="0"/>
      <w:jc w:val="left"/>
    </w:pPr>
    <w:rPr>
      <w:rFonts w:eastAsia="仿宋_GB2312"/>
      <w:sz w:val="18"/>
    </w:rPr>
  </w:style>
  <w:style w:type="character" w:customStyle="1" w:styleId="23">
    <w:name w:val="纯文本 字符"/>
    <w:link w:val="6"/>
    <w:qFormat/>
    <w:uiPriority w:val="0"/>
    <w:rPr>
      <w:rFonts w:ascii="宋体" w:hAnsi="Courier New" w:cs="Courier New"/>
      <w:szCs w:val="21"/>
    </w:rPr>
  </w:style>
  <w:style w:type="paragraph" w:customStyle="1" w:styleId="24">
    <w:name w:val="纯文本1"/>
    <w:basedOn w:val="1"/>
    <w:next w:val="6"/>
    <w:qFormat/>
    <w:uiPriority w:val="0"/>
    <w:rPr>
      <w:rFonts w:ascii="宋体" w:hAnsi="Courier New" w:cs="Courier New"/>
      <w:szCs w:val="21"/>
    </w:rPr>
  </w:style>
  <w:style w:type="character" w:customStyle="1" w:styleId="25">
    <w:name w:val="页脚 Char"/>
    <w:basedOn w:val="15"/>
    <w:semiHidden/>
    <w:qFormat/>
    <w:uiPriority w:val="99"/>
    <w:rPr>
      <w:rFonts w:ascii="Times New Roman" w:hAnsi="Times New Roman" w:eastAsia="仿宋_GB2312" w:cs="Times New Roman"/>
      <w:sz w:val="18"/>
      <w:szCs w:val="18"/>
    </w:rPr>
  </w:style>
  <w:style w:type="character" w:customStyle="1" w:styleId="26">
    <w:name w:val="纯文本 Char"/>
    <w:basedOn w:val="15"/>
    <w:semiHidden/>
    <w:qFormat/>
    <w:uiPriority w:val="99"/>
    <w:rPr>
      <w:rFonts w:ascii="宋体" w:hAnsi="Courier New" w:eastAsia="宋体" w:cs="Courier New"/>
      <w:szCs w:val="21"/>
    </w:rPr>
  </w:style>
  <w:style w:type="character" w:customStyle="1" w:styleId="27">
    <w:name w:val="批注框文本 字符"/>
    <w:basedOn w:val="15"/>
    <w:link w:val="8"/>
    <w:semiHidden/>
    <w:qFormat/>
    <w:uiPriority w:val="99"/>
    <w:rPr>
      <w:rFonts w:ascii="Times New Roman" w:hAnsi="Times New Roman" w:eastAsia="仿宋_GB2312" w:cs="Times New Roman"/>
      <w:sz w:val="18"/>
      <w:szCs w:val="18"/>
    </w:rPr>
  </w:style>
  <w:style w:type="paragraph" w:customStyle="1" w:styleId="28">
    <w:name w:val="1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styleId="29">
    <w:name w:val="List Paragraph"/>
    <w:basedOn w:val="1"/>
    <w:qFormat/>
    <w:uiPriority w:val="34"/>
    <w:pPr>
      <w:ind w:firstLine="420" w:firstLineChars="200"/>
    </w:pPr>
    <w:rPr>
      <w:rFonts w:ascii="Times New Roman" w:hAnsi="Times New Roman" w:eastAsia="仿宋_GB2312" w:cs="Times New Roman"/>
      <w:sz w:val="32"/>
      <w:szCs w:val="20"/>
    </w:rPr>
  </w:style>
  <w:style w:type="paragraph" w:customStyle="1" w:styleId="30">
    <w:name w:val="SF表内文字（居中）"/>
    <w:basedOn w:val="1"/>
    <w:qFormat/>
    <w:uiPriority w:val="0"/>
    <w:pPr>
      <w:spacing w:line="240" w:lineRule="exact"/>
      <w:jc w:val="center"/>
    </w:pPr>
    <w:rPr>
      <w:rFonts w:ascii="Century Gothic" w:hAnsi="Century Gothic" w:eastAsia="宋体" w:cs="Times New Roman"/>
      <w:w w:val="80"/>
      <w:sz w:val="18"/>
      <w:szCs w:val="20"/>
    </w:rPr>
  </w:style>
  <w:style w:type="paragraph" w:customStyle="1" w:styleId="31">
    <w:name w:val="SF表格标题"/>
    <w:basedOn w:val="1"/>
    <w:qFormat/>
    <w:uiPriority w:val="0"/>
    <w:pPr>
      <w:spacing w:beforeLines="50"/>
      <w:jc w:val="center"/>
    </w:pPr>
    <w:rPr>
      <w:rFonts w:ascii="Century Gothic" w:hAnsi="Century Gothic" w:eastAsia="宋体" w:cs="Times New Roman"/>
      <w:szCs w:val="20"/>
    </w:rPr>
  </w:style>
  <w:style w:type="paragraph" w:customStyle="1" w:styleId="32">
    <w:name w:val="SF表内文字（居左）"/>
    <w:basedOn w:val="30"/>
    <w:qFormat/>
    <w:uiPriority w:val="0"/>
    <w:pPr>
      <w:jc w:val="left"/>
    </w:pPr>
  </w:style>
  <w:style w:type="character" w:customStyle="1" w:styleId="33">
    <w:name w:val="正文文本缩进 3 字符"/>
    <w:basedOn w:val="15"/>
    <w:link w:val="11"/>
    <w:qFormat/>
    <w:uiPriority w:val="0"/>
    <w:rPr>
      <w:rFonts w:ascii="Times New Roman" w:hAnsi="Times New Roman" w:eastAsia="宋体" w:cs="Times New Roman"/>
      <w:sz w:val="16"/>
      <w:szCs w:val="20"/>
    </w:rPr>
  </w:style>
  <w:style w:type="character" w:customStyle="1" w:styleId="34">
    <w:name w:val="页眉 字符"/>
    <w:basedOn w:val="15"/>
    <w:link w:val="10"/>
    <w:qFormat/>
    <w:uiPriority w:val="99"/>
    <w:rPr>
      <w:rFonts w:ascii="Times New Roman" w:hAnsi="Times New Roman" w:eastAsia="仿宋_GB2312" w:cs="Times New Roman"/>
      <w:sz w:val="18"/>
      <w:szCs w:val="18"/>
    </w:rPr>
  </w:style>
  <w:style w:type="character" w:customStyle="1" w:styleId="35">
    <w:name w:val="正文文本缩进 字符"/>
    <w:basedOn w:val="15"/>
    <w:link w:val="5"/>
    <w:semiHidden/>
    <w:qFormat/>
    <w:uiPriority w:val="99"/>
    <w:rPr>
      <w:rFonts w:ascii="Times New Roman" w:hAnsi="Times New Roman" w:eastAsia="仿宋_GB2312" w:cs="Times New Roman"/>
      <w:sz w:val="32"/>
      <w:szCs w:val="20"/>
    </w:rPr>
  </w:style>
  <w:style w:type="character" w:customStyle="1" w:styleId="36">
    <w:name w:val="标题 2 字符1"/>
    <w:basedOn w:val="15"/>
    <w:link w:val="3"/>
    <w:semiHidden/>
    <w:qFormat/>
    <w:uiPriority w:val="9"/>
    <w:rPr>
      <w:rFonts w:asciiTheme="majorHAnsi" w:hAnsiTheme="majorHAnsi" w:eastAsiaTheme="majorEastAsia" w:cstheme="majorBidi"/>
      <w:b/>
      <w:bCs/>
      <w:sz w:val="32"/>
      <w:szCs w:val="32"/>
    </w:rPr>
  </w:style>
  <w:style w:type="character" w:customStyle="1" w:styleId="37">
    <w:name w:val="页脚 字符1"/>
    <w:basedOn w:val="15"/>
    <w:link w:val="9"/>
    <w:semiHidden/>
    <w:qFormat/>
    <w:uiPriority w:val="99"/>
    <w:rPr>
      <w:sz w:val="18"/>
      <w:szCs w:val="18"/>
    </w:rPr>
  </w:style>
  <w:style w:type="character" w:customStyle="1" w:styleId="38">
    <w:name w:val="纯文本 字符1"/>
    <w:basedOn w:val="15"/>
    <w:link w:val="6"/>
    <w:semiHidden/>
    <w:qFormat/>
    <w:uiPriority w:val="99"/>
    <w:rPr>
      <w:rFonts w:hAnsi="Courier New" w:cs="Courier New" w:asciiTheme="minorEastAsia"/>
    </w:rPr>
  </w:style>
  <w:style w:type="paragraph" w:customStyle="1" w:styleId="39">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b897e1e-ff9c-44dc-b951-c9ce1b3dca79}"/>
        <w:style w:val=""/>
        <w:category>
          <w:name w:val="常规"/>
          <w:gallery w:val="placeholder"/>
        </w:category>
        <w:types>
          <w:type w:val="bbPlcHdr"/>
        </w:types>
        <w:behaviors>
          <w:behavior w:val="content"/>
        </w:behaviors>
        <w:description w:val=""/>
        <w:guid w:val="{ab897e1e-ff9c-44dc-b951-c9ce1b3dca79}"/>
      </w:docPartPr>
      <w:docPartBody>
        <w:p>
          <w:r>
            <w:rPr>
              <w:color w:val="808080"/>
            </w:rPr>
            <w:t>单击此处输入文字。</w:t>
          </w:r>
        </w:p>
      </w:docPartBody>
    </w:docPart>
    <w:docPart>
      <w:docPartPr>
        <w:name w:val="{114a5487-05e9-4537-a912-b4f2cf90edeb}"/>
        <w:style w:val=""/>
        <w:category>
          <w:name w:val="常规"/>
          <w:gallery w:val="placeholder"/>
        </w:category>
        <w:types>
          <w:type w:val="bbPlcHdr"/>
        </w:types>
        <w:behaviors>
          <w:behavior w:val="content"/>
        </w:behaviors>
        <w:description w:val=""/>
        <w:guid w:val="{114a5487-05e9-4537-a912-b4f2cf90edeb}"/>
      </w:docPartPr>
      <w:docPartBody>
        <w:p>
          <w:r>
            <w:rPr>
              <w:color w:val="808080"/>
            </w:rPr>
            <w:t>单击此处输入文字。</w:t>
          </w:r>
        </w:p>
      </w:docPartBody>
    </w:docPart>
    <w:docPart>
      <w:docPartPr>
        <w:name w:val="{cce8f39e-3692-429b-a928-d5172110d52a}"/>
        <w:style w:val=""/>
        <w:category>
          <w:name w:val="常规"/>
          <w:gallery w:val="placeholder"/>
        </w:category>
        <w:types>
          <w:type w:val="bbPlcHdr"/>
        </w:types>
        <w:behaviors>
          <w:behavior w:val="content"/>
        </w:behaviors>
        <w:description w:val=""/>
        <w:guid w:val="{cce8f39e-3692-429b-a928-d5172110d52a}"/>
      </w:docPartPr>
      <w:docPartBody>
        <w:p>
          <w:r>
            <w:rPr>
              <w:color w:val="808080"/>
            </w:rPr>
            <w:t>单击此处输入文字。</w:t>
          </w:r>
        </w:p>
      </w:docPartBody>
    </w:docPart>
    <w:docPart>
      <w:docPartPr>
        <w:name w:val="{5bf865e6-ccc0-4845-984c-2e3326b8f31f}"/>
        <w:style w:val=""/>
        <w:category>
          <w:name w:val="常规"/>
          <w:gallery w:val="placeholder"/>
        </w:category>
        <w:types>
          <w:type w:val="bbPlcHdr"/>
        </w:types>
        <w:behaviors>
          <w:behavior w:val="content"/>
        </w:behaviors>
        <w:description w:val=""/>
        <w:guid w:val="{5bf865e6-ccc0-4845-984c-2e3326b8f31f}"/>
      </w:docPartPr>
      <w:docPartBody>
        <w:p>
          <w:r>
            <w:rPr>
              <w:color w:val="808080"/>
            </w:rPr>
            <w:t>单击此处输入文字。</w:t>
          </w:r>
        </w:p>
      </w:docPartBody>
    </w:docPart>
    <w:docPart>
      <w:docPartPr>
        <w:name w:val="{67bc6c3b-df54-49b8-99ab-8a674f7c70b8}"/>
        <w:style w:val=""/>
        <w:category>
          <w:name w:val="常规"/>
          <w:gallery w:val="placeholder"/>
        </w:category>
        <w:types>
          <w:type w:val="bbPlcHdr"/>
        </w:types>
        <w:behaviors>
          <w:behavior w:val="content"/>
        </w:behaviors>
        <w:description w:val=""/>
        <w:guid w:val="{67bc6c3b-df54-49b8-99ab-8a674f7c70b8}"/>
      </w:docPartPr>
      <w:docPartBody>
        <w:p>
          <w:r>
            <w:rPr>
              <w:color w:val="808080"/>
            </w:rPr>
            <w:t>单击此处输入文字。</w:t>
          </w:r>
        </w:p>
      </w:docPartBody>
    </w:docPart>
    <w:docPart>
      <w:docPartPr>
        <w:name w:val="{d9425eee-a831-4a9d-a5fa-2fc175254904}"/>
        <w:style w:val=""/>
        <w:category>
          <w:name w:val="常规"/>
          <w:gallery w:val="placeholder"/>
        </w:category>
        <w:types>
          <w:type w:val="bbPlcHdr"/>
        </w:types>
        <w:behaviors>
          <w:behavior w:val="content"/>
        </w:behaviors>
        <w:description w:val=""/>
        <w:guid w:val="{d9425eee-a831-4a9d-a5fa-2fc175254904}"/>
      </w:docPartPr>
      <w:docPartBody>
        <w:p>
          <w:r>
            <w:rPr>
              <w:color w:val="808080"/>
            </w:rPr>
            <w:t>单击此处输入文字。</w:t>
          </w:r>
        </w:p>
      </w:docPartBody>
    </w:docPart>
    <w:docPart>
      <w:docPartPr>
        <w:name w:val="{6b238fd4-724e-448e-a826-f76f85f94f85}"/>
        <w:style w:val=""/>
        <w:category>
          <w:name w:val="常规"/>
          <w:gallery w:val="placeholder"/>
        </w:category>
        <w:types>
          <w:type w:val="bbPlcHdr"/>
        </w:types>
        <w:behaviors>
          <w:behavior w:val="content"/>
        </w:behaviors>
        <w:description w:val=""/>
        <w:guid w:val="{6b238fd4-724e-448e-a826-f76f85f94f85}"/>
      </w:docPartPr>
      <w:docPartBody>
        <w:p>
          <w:r>
            <w:rPr>
              <w:color w:val="808080"/>
            </w:rPr>
            <w:t>单击此处输入文字。</w:t>
          </w:r>
        </w:p>
      </w:docPartBody>
    </w:docPart>
    <w:docPart>
      <w:docPartPr>
        <w:name w:val="{41923689-03a4-4516-ba06-c9b6c376e3ee}"/>
        <w:style w:val=""/>
        <w:category>
          <w:name w:val="常规"/>
          <w:gallery w:val="placeholder"/>
        </w:category>
        <w:types>
          <w:type w:val="bbPlcHdr"/>
        </w:types>
        <w:behaviors>
          <w:behavior w:val="content"/>
        </w:behaviors>
        <w:description w:val=""/>
        <w:guid w:val="{41923689-03a4-4516-ba06-c9b6c376e3ee}"/>
      </w:docPartPr>
      <w:docPartBody>
        <w:p>
          <w:r>
            <w:rPr>
              <w:color w:val="808080"/>
            </w:rPr>
            <w:t>单击此处输入文字。</w:t>
          </w:r>
        </w:p>
      </w:docPartBody>
    </w:docPart>
    <w:docPart>
      <w:docPartPr>
        <w:name w:val="{7e3be504-3df0-4854-9b78-9fe0bb35a215}"/>
        <w:style w:val=""/>
        <w:category>
          <w:name w:val="常规"/>
          <w:gallery w:val="placeholder"/>
        </w:category>
        <w:types>
          <w:type w:val="bbPlcHdr"/>
        </w:types>
        <w:behaviors>
          <w:behavior w:val="content"/>
        </w:behaviors>
        <w:description w:val=""/>
        <w:guid w:val="{7e3be504-3df0-4854-9b78-9fe0bb35a215}"/>
      </w:docPartPr>
      <w:docPartBody>
        <w:p>
          <w:r>
            <w:rPr>
              <w:color w:val="808080"/>
            </w:rPr>
            <w:t>单击此处输入文字。</w:t>
          </w:r>
        </w:p>
      </w:docPartBody>
    </w:docPart>
    <w:docPart>
      <w:docPartPr>
        <w:name w:val="{04340155-82b6-48d9-8955-b3ef6f0814cc}"/>
        <w:style w:val=""/>
        <w:category>
          <w:name w:val="常规"/>
          <w:gallery w:val="placeholder"/>
        </w:category>
        <w:types>
          <w:type w:val="bbPlcHdr"/>
        </w:types>
        <w:behaviors>
          <w:behavior w:val="content"/>
        </w:behaviors>
        <w:description w:val=""/>
        <w:guid w:val="{04340155-82b6-48d9-8955-b3ef6f0814cc}"/>
      </w:docPartPr>
      <w:docPartBody>
        <w:p>
          <w:r>
            <w:rPr>
              <w:color w:val="808080"/>
            </w:rPr>
            <w:t>单击此处输入文字。</w:t>
          </w:r>
        </w:p>
      </w:docPartBody>
    </w:docPart>
    <w:docPart>
      <w:docPartPr>
        <w:name w:val="{8da99957-1dcb-4db5-b4a1-b8230426e1b6}"/>
        <w:style w:val=""/>
        <w:category>
          <w:name w:val="常规"/>
          <w:gallery w:val="placeholder"/>
        </w:category>
        <w:types>
          <w:type w:val="bbPlcHdr"/>
        </w:types>
        <w:behaviors>
          <w:behavior w:val="content"/>
        </w:behaviors>
        <w:description w:val=""/>
        <w:guid w:val="{8da99957-1dcb-4db5-b4a1-b8230426e1b6}"/>
      </w:docPartPr>
      <w:docPartBody>
        <w:p>
          <w:r>
            <w:rPr>
              <w:color w:val="808080"/>
            </w:rPr>
            <w:t>单击此处输入文字。</w:t>
          </w:r>
        </w:p>
      </w:docPartBody>
    </w:docPart>
    <w:docPart>
      <w:docPartPr>
        <w:name w:val="{6c9aeb4b-e8c8-45fe-a771-346026b4442d}"/>
        <w:style w:val=""/>
        <w:category>
          <w:name w:val="常规"/>
          <w:gallery w:val="placeholder"/>
        </w:category>
        <w:types>
          <w:type w:val="bbPlcHdr"/>
        </w:types>
        <w:behaviors>
          <w:behavior w:val="content"/>
        </w:behaviors>
        <w:description w:val=""/>
        <w:guid w:val="{6c9aeb4b-e8c8-45fe-a771-346026b4442d}"/>
      </w:docPartPr>
      <w:docPartBody>
        <w:p>
          <w:r>
            <w:rPr>
              <w:color w:val="808080"/>
            </w:rPr>
            <w:t>单击此处输入文字。</w:t>
          </w:r>
        </w:p>
      </w:docPartBody>
    </w:docPart>
    <w:docPart>
      <w:docPartPr>
        <w:name w:val="{55ce09ba-cd5b-445e-93e6-3b26fdec2d0b}"/>
        <w:style w:val=""/>
        <w:category>
          <w:name w:val="常规"/>
          <w:gallery w:val="placeholder"/>
        </w:category>
        <w:types>
          <w:type w:val="bbPlcHdr"/>
        </w:types>
        <w:behaviors>
          <w:behavior w:val="content"/>
        </w:behaviors>
        <w:description w:val=""/>
        <w:guid w:val="{55ce09ba-cd5b-445e-93e6-3b26fdec2d0b}"/>
      </w:docPartPr>
      <w:docPartBody>
        <w:p>
          <w:r>
            <w:rPr>
              <w:color w:val="808080"/>
            </w:rPr>
            <w:t>单击此处输入文字。</w:t>
          </w:r>
        </w:p>
      </w:docPartBody>
    </w:docPart>
    <w:docPart>
      <w:docPartPr>
        <w:name w:val="{91f67bc5-9339-4804-a4f5-8c68a61f9499}"/>
        <w:style w:val=""/>
        <w:category>
          <w:name w:val="常规"/>
          <w:gallery w:val="placeholder"/>
        </w:category>
        <w:types>
          <w:type w:val="bbPlcHdr"/>
        </w:types>
        <w:behaviors>
          <w:behavior w:val="content"/>
        </w:behaviors>
        <w:description w:val=""/>
        <w:guid w:val="{91f67bc5-9339-4804-a4f5-8c68a61f9499}"/>
      </w:docPartPr>
      <w:docPartBody>
        <w:p>
          <w:r>
            <w:rPr>
              <w:color w:val="808080"/>
            </w:rPr>
            <w:t>单击此处输入文字。</w:t>
          </w:r>
        </w:p>
      </w:docPartBody>
    </w:docPart>
    <w:docPart>
      <w:docPartPr>
        <w:name w:val="{5916c93d-a404-45cc-89cb-1e9a1a0f8c61}"/>
        <w:style w:val=""/>
        <w:category>
          <w:name w:val="常规"/>
          <w:gallery w:val="placeholder"/>
        </w:category>
        <w:types>
          <w:type w:val="bbPlcHdr"/>
        </w:types>
        <w:behaviors>
          <w:behavior w:val="content"/>
        </w:behaviors>
        <w:description w:val=""/>
        <w:guid w:val="{5916c93d-a404-45cc-89cb-1e9a1a0f8c61}"/>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F6978-0C74-4773-9FEC-986C0900D68B}">
  <ds:schemaRefs/>
</ds:datastoreItem>
</file>

<file path=docProps/app.xml><?xml version="1.0" encoding="utf-8"?>
<Properties xmlns="http://schemas.openxmlformats.org/officeDocument/2006/extended-properties" xmlns:vt="http://schemas.openxmlformats.org/officeDocument/2006/docPropsVTypes">
  <Template>Normal</Template>
  <Pages>28</Pages>
  <Words>2326</Words>
  <Characters>13260</Characters>
  <Lines>110</Lines>
  <Paragraphs>31</Paragraphs>
  <TotalTime>0</TotalTime>
  <ScaleCrop>false</ScaleCrop>
  <LinksUpToDate>false</LinksUpToDate>
  <CharactersWithSpaces>15555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2019-07-30T09:38:00Z</dcterms:created>
  <dc:creator>syf</dc:creator>
  <cp:lastModifiedBy>Summer1403119806</cp:lastModifiedBy>
  <dcterms:modified xsi:type="dcterms:W3CDTF">2019-09-10T14:12:14Z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