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eastAsia="黑体"/>
          <w:b/>
          <w:sz w:val="44"/>
          <w:szCs w:val="44"/>
        </w:rPr>
      </w:pPr>
    </w:p>
    <w:p>
      <w:pPr>
        <w:widowControl/>
        <w:spacing w:before="217" w:beforeLines="50" w:line="360" w:lineRule="auto"/>
        <w:jc w:val="center"/>
        <w:rPr>
          <w:rFonts w:eastAsia="黑体"/>
          <w:b/>
          <w:sz w:val="36"/>
          <w:szCs w:val="36"/>
        </w:rPr>
      </w:pPr>
      <w:r>
        <w:rPr>
          <w:rFonts w:eastAsia="黑体"/>
          <w:b/>
          <w:sz w:val="36"/>
          <w:szCs w:val="36"/>
        </w:rPr>
        <w:t>《高等职业学校连锁经营管理专业</w:t>
      </w:r>
      <w:r>
        <w:rPr>
          <w:rFonts w:hint="eastAsia" w:eastAsia="黑体"/>
          <w:b/>
          <w:sz w:val="36"/>
          <w:szCs w:val="36"/>
          <w:lang w:eastAsia="zh-CN"/>
        </w:rPr>
        <w:t>人才培养方案</w:t>
      </w:r>
      <w:r>
        <w:rPr>
          <w:rFonts w:eastAsia="黑体"/>
          <w:b/>
          <w:sz w:val="36"/>
          <w:szCs w:val="36"/>
        </w:rPr>
        <w:t>》</w:t>
      </w:r>
    </w:p>
    <w:p>
      <w:pPr>
        <w:widowControl/>
        <w:spacing w:before="217" w:beforeLines="50" w:line="360" w:lineRule="auto"/>
        <w:jc w:val="center"/>
        <w:rPr>
          <w:rFonts w:eastAsia="黑体"/>
          <w:b/>
          <w:sz w:val="44"/>
          <w:szCs w:val="44"/>
        </w:rPr>
      </w:pPr>
      <w:r>
        <w:rPr>
          <w:rFonts w:eastAsia="黑体"/>
          <w:b/>
          <w:sz w:val="44"/>
          <w:szCs w:val="44"/>
        </w:rPr>
        <w:t>调研报告</w:t>
      </w:r>
    </w:p>
    <w:p>
      <w:pPr>
        <w:widowControl/>
        <w:jc w:val="left"/>
        <w:rPr>
          <w:sz w:val="30"/>
          <w:szCs w:val="30"/>
        </w:rPr>
        <w:sectPr>
          <w:footerReference r:id="rId3" w:type="default"/>
          <w:pgSz w:w="11906" w:h="16838"/>
          <w:pgMar w:top="1440" w:right="1800" w:bottom="1440" w:left="1800" w:header="851" w:footer="992" w:gutter="0"/>
          <w:pgNumType w:start="1"/>
          <w:cols w:space="425" w:num="1"/>
          <w:docGrid w:type="lines" w:linePitch="435" w:charSpace="0"/>
        </w:sectPr>
      </w:pPr>
    </w:p>
    <w:p>
      <w:pPr>
        <w:widowControl/>
        <w:jc w:val="left"/>
        <w:rPr>
          <w:sz w:val="30"/>
          <w:szCs w:val="30"/>
        </w:rPr>
      </w:pPr>
    </w:p>
    <w:p>
      <w:pPr>
        <w:spacing w:line="360" w:lineRule="auto"/>
        <w:jc w:val="center"/>
        <w:rPr>
          <w:b/>
          <w:sz w:val="36"/>
          <w:szCs w:val="32"/>
        </w:rPr>
      </w:pPr>
      <w:r>
        <w:rPr>
          <w:b/>
          <w:sz w:val="36"/>
          <w:szCs w:val="32"/>
        </w:rPr>
        <w:t>目录</w:t>
      </w:r>
    </w:p>
    <w:p>
      <w:pPr>
        <w:pStyle w:val="14"/>
        <w:tabs>
          <w:tab w:val="right" w:leader="dot" w:pos="8296"/>
        </w:tabs>
        <w:rPr>
          <w:rFonts w:ascii="Times New Roman" w:eastAsia="仿宋_GB2312"/>
          <w:b w:val="0"/>
          <w:bCs w:val="0"/>
          <w:caps w:val="0"/>
          <w:sz w:val="28"/>
          <w:szCs w:val="30"/>
        </w:rPr>
      </w:pPr>
      <w:r>
        <w:rPr>
          <w:rFonts w:hint="eastAsia" w:ascii="Times New Roman" w:eastAsia="仿宋_GB2312"/>
          <w:sz w:val="28"/>
          <w:szCs w:val="30"/>
        </w:rPr>
        <w:fldChar w:fldCharType="begin"/>
      </w:r>
      <w:r>
        <w:rPr>
          <w:rFonts w:hint="eastAsia" w:ascii="Times New Roman" w:eastAsia="仿宋_GB2312"/>
          <w:sz w:val="28"/>
          <w:szCs w:val="30"/>
        </w:rPr>
        <w:instrText xml:space="preserve"> TOC \o "1-2" \h \z \u </w:instrText>
      </w:r>
      <w:r>
        <w:rPr>
          <w:rFonts w:hint="eastAsia" w:ascii="Times New Roman" w:eastAsia="仿宋_GB2312"/>
          <w:sz w:val="28"/>
          <w:szCs w:val="30"/>
        </w:rPr>
        <w:fldChar w:fldCharType="separate"/>
      </w:r>
      <w:r>
        <w:fldChar w:fldCharType="begin"/>
      </w:r>
      <w:r>
        <w:instrText xml:space="preserve"> HYPERLINK \l "_Toc494016481" </w:instrText>
      </w:r>
      <w:r>
        <w:fldChar w:fldCharType="separate"/>
      </w:r>
      <w:r>
        <w:rPr>
          <w:rStyle w:val="26"/>
          <w:rFonts w:hint="eastAsia" w:ascii="Times New Roman" w:eastAsia="仿宋_GB2312"/>
          <w:sz w:val="28"/>
          <w:szCs w:val="30"/>
        </w:rPr>
        <w:t>一、调研目的</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_Toc494016481 \h </w:instrText>
      </w:r>
      <w:r>
        <w:rPr>
          <w:rFonts w:hint="eastAsia" w:ascii="Times New Roman" w:eastAsia="仿宋_GB2312"/>
          <w:sz w:val="28"/>
          <w:szCs w:val="30"/>
        </w:rPr>
        <w:fldChar w:fldCharType="separate"/>
      </w:r>
      <w:r>
        <w:rPr>
          <w:rFonts w:ascii="Times New Roman" w:eastAsia="仿宋_GB2312"/>
          <w:sz w:val="28"/>
          <w:szCs w:val="30"/>
        </w:rPr>
        <w:t>1</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rPr>
          <w:rFonts w:ascii="Times New Roman" w:eastAsia="仿宋_GB2312"/>
          <w:b w:val="0"/>
          <w:bCs w:val="0"/>
          <w:caps w:val="0"/>
          <w:sz w:val="28"/>
          <w:szCs w:val="30"/>
        </w:rPr>
      </w:pPr>
      <w:r>
        <w:fldChar w:fldCharType="begin"/>
      </w:r>
      <w:r>
        <w:instrText xml:space="preserve"> HYPERLINK \l "_Toc494016482" </w:instrText>
      </w:r>
      <w:r>
        <w:fldChar w:fldCharType="separate"/>
      </w:r>
      <w:r>
        <w:rPr>
          <w:rStyle w:val="26"/>
          <w:rFonts w:hint="eastAsia" w:ascii="Times New Roman" w:eastAsia="仿宋_GB2312"/>
          <w:sz w:val="28"/>
          <w:szCs w:val="30"/>
        </w:rPr>
        <w:t>二、调研对象</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_Toc494016482 \h </w:instrText>
      </w:r>
      <w:r>
        <w:rPr>
          <w:rFonts w:hint="eastAsia" w:ascii="Times New Roman" w:eastAsia="仿宋_GB2312"/>
          <w:sz w:val="28"/>
          <w:szCs w:val="30"/>
        </w:rPr>
        <w:fldChar w:fldCharType="separate"/>
      </w:r>
      <w:r>
        <w:rPr>
          <w:rFonts w:ascii="Times New Roman" w:eastAsia="仿宋_GB2312"/>
          <w:sz w:val="28"/>
          <w:szCs w:val="30"/>
        </w:rPr>
        <w:t>1</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rPr>
          <w:rFonts w:ascii="Times New Roman" w:eastAsia="仿宋_GB2312"/>
          <w:b w:val="0"/>
          <w:bCs w:val="0"/>
          <w:caps w:val="0"/>
          <w:sz w:val="28"/>
          <w:szCs w:val="30"/>
        </w:rPr>
      </w:pPr>
      <w:r>
        <w:fldChar w:fldCharType="begin"/>
      </w:r>
      <w:r>
        <w:instrText xml:space="preserve"> HYPERLINK \l "_Toc494016483" </w:instrText>
      </w:r>
      <w:r>
        <w:fldChar w:fldCharType="separate"/>
      </w:r>
      <w:r>
        <w:rPr>
          <w:rStyle w:val="26"/>
          <w:rFonts w:hint="eastAsia" w:ascii="Times New Roman" w:eastAsia="仿宋_GB2312"/>
          <w:sz w:val="28"/>
          <w:szCs w:val="30"/>
        </w:rPr>
        <w:t>三、调研方式与实施情况</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_Toc494016483 \h </w:instrText>
      </w:r>
      <w:r>
        <w:rPr>
          <w:rFonts w:hint="eastAsia" w:ascii="Times New Roman" w:eastAsia="仿宋_GB2312"/>
          <w:sz w:val="28"/>
          <w:szCs w:val="30"/>
        </w:rPr>
        <w:fldChar w:fldCharType="separate"/>
      </w:r>
      <w:r>
        <w:rPr>
          <w:rFonts w:ascii="Times New Roman" w:eastAsia="仿宋_GB2312"/>
          <w:sz w:val="28"/>
          <w:szCs w:val="30"/>
        </w:rPr>
        <w:t>3</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ind w:firstLine="404" w:firstLineChars="202"/>
        <w:rPr>
          <w:rFonts w:ascii="Times New Roman" w:eastAsia="仿宋_GB2312"/>
          <w:b w:val="0"/>
          <w:bCs w:val="0"/>
          <w:caps w:val="0"/>
          <w:sz w:val="28"/>
          <w:szCs w:val="30"/>
        </w:rPr>
      </w:pPr>
      <w:r>
        <w:fldChar w:fldCharType="begin"/>
      </w:r>
      <w:r>
        <w:instrText xml:space="preserve"> HYPERLINK \l "_Toc494016484" </w:instrText>
      </w:r>
      <w:r>
        <w:fldChar w:fldCharType="separate"/>
      </w:r>
      <w:r>
        <w:rPr>
          <w:rStyle w:val="26"/>
          <w:rFonts w:hint="eastAsia" w:ascii="Times New Roman" w:eastAsia="仿宋_GB2312"/>
          <w:b w:val="0"/>
          <w:sz w:val="28"/>
          <w:szCs w:val="30"/>
        </w:rPr>
        <w:t>（一）调研方式</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_Toc494016484 \h </w:instrText>
      </w:r>
      <w:r>
        <w:rPr>
          <w:rFonts w:hint="eastAsia" w:ascii="Times New Roman" w:eastAsia="仿宋_GB2312"/>
          <w:b w:val="0"/>
          <w:sz w:val="28"/>
          <w:szCs w:val="30"/>
        </w:rPr>
        <w:fldChar w:fldCharType="separate"/>
      </w:r>
      <w:r>
        <w:rPr>
          <w:rFonts w:ascii="Times New Roman" w:eastAsia="仿宋_GB2312"/>
          <w:b w:val="0"/>
          <w:sz w:val="28"/>
          <w:szCs w:val="30"/>
        </w:rPr>
        <w:t>3</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04" w:firstLineChars="202"/>
        <w:rPr>
          <w:rFonts w:ascii="Times New Roman" w:eastAsia="仿宋_GB2312"/>
          <w:b w:val="0"/>
          <w:bCs w:val="0"/>
          <w:caps w:val="0"/>
          <w:sz w:val="28"/>
          <w:szCs w:val="30"/>
        </w:rPr>
      </w:pPr>
      <w:r>
        <w:fldChar w:fldCharType="begin"/>
      </w:r>
      <w:r>
        <w:instrText xml:space="preserve"> HYPERLINK \l "_Toc494016485" </w:instrText>
      </w:r>
      <w:r>
        <w:fldChar w:fldCharType="separate"/>
      </w:r>
      <w:r>
        <w:rPr>
          <w:rStyle w:val="26"/>
          <w:rFonts w:hint="eastAsia" w:ascii="Times New Roman" w:eastAsia="仿宋_GB2312"/>
          <w:b w:val="0"/>
          <w:sz w:val="28"/>
          <w:szCs w:val="30"/>
        </w:rPr>
        <w:t>（二）实施计划安排</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_Toc494016485 \h </w:instrText>
      </w:r>
      <w:r>
        <w:rPr>
          <w:rFonts w:hint="eastAsia" w:ascii="Times New Roman" w:eastAsia="仿宋_GB2312"/>
          <w:b w:val="0"/>
          <w:sz w:val="28"/>
          <w:szCs w:val="30"/>
        </w:rPr>
        <w:fldChar w:fldCharType="separate"/>
      </w:r>
      <w:r>
        <w:rPr>
          <w:rFonts w:ascii="Times New Roman" w:eastAsia="仿宋_GB2312"/>
          <w:b w:val="0"/>
          <w:sz w:val="28"/>
          <w:szCs w:val="30"/>
        </w:rPr>
        <w:t>3</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04" w:firstLineChars="202"/>
        <w:rPr>
          <w:rFonts w:ascii="Times New Roman" w:eastAsia="仿宋_GB2312"/>
          <w:b w:val="0"/>
          <w:bCs w:val="0"/>
          <w:caps w:val="0"/>
          <w:sz w:val="28"/>
          <w:szCs w:val="30"/>
        </w:rPr>
      </w:pPr>
      <w:r>
        <w:fldChar w:fldCharType="begin"/>
      </w:r>
      <w:r>
        <w:instrText xml:space="preserve"> HYPERLINK \l "_Toc494016486" </w:instrText>
      </w:r>
      <w:r>
        <w:fldChar w:fldCharType="separate"/>
      </w:r>
      <w:r>
        <w:rPr>
          <w:rStyle w:val="26"/>
          <w:rFonts w:hint="eastAsia" w:ascii="Times New Roman" w:eastAsia="仿宋_GB2312"/>
          <w:b w:val="0"/>
          <w:sz w:val="28"/>
          <w:szCs w:val="30"/>
        </w:rPr>
        <w:t>（三）问卷回收情况</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_Toc494016486 \h </w:instrText>
      </w:r>
      <w:r>
        <w:rPr>
          <w:rFonts w:hint="eastAsia" w:ascii="Times New Roman" w:eastAsia="仿宋_GB2312"/>
          <w:b w:val="0"/>
          <w:sz w:val="28"/>
          <w:szCs w:val="30"/>
        </w:rPr>
        <w:fldChar w:fldCharType="separate"/>
      </w:r>
      <w:r>
        <w:rPr>
          <w:rFonts w:ascii="Times New Roman" w:eastAsia="仿宋_GB2312"/>
          <w:b w:val="0"/>
          <w:sz w:val="28"/>
          <w:szCs w:val="30"/>
        </w:rPr>
        <w:t>4</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rPr>
          <w:rFonts w:ascii="Times New Roman" w:eastAsia="仿宋_GB2312"/>
          <w:b w:val="0"/>
          <w:bCs w:val="0"/>
          <w:caps w:val="0"/>
          <w:sz w:val="28"/>
          <w:szCs w:val="30"/>
        </w:rPr>
      </w:pPr>
      <w:r>
        <w:fldChar w:fldCharType="begin"/>
      </w:r>
      <w:r>
        <w:instrText xml:space="preserve"> HYPERLINK \l "_Toc494016487" </w:instrText>
      </w:r>
      <w:r>
        <w:fldChar w:fldCharType="separate"/>
      </w:r>
      <w:r>
        <w:rPr>
          <w:rStyle w:val="26"/>
          <w:rFonts w:hint="eastAsia" w:ascii="Times New Roman" w:eastAsia="仿宋_GB2312"/>
          <w:sz w:val="28"/>
          <w:szCs w:val="30"/>
        </w:rPr>
        <w:t>四、调研内容</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_Toc494016487 \h </w:instrText>
      </w:r>
      <w:r>
        <w:rPr>
          <w:rFonts w:hint="eastAsia" w:ascii="Times New Roman" w:eastAsia="仿宋_GB2312"/>
          <w:sz w:val="28"/>
          <w:szCs w:val="30"/>
        </w:rPr>
        <w:fldChar w:fldCharType="separate"/>
      </w:r>
      <w:r>
        <w:rPr>
          <w:rFonts w:ascii="Times New Roman" w:eastAsia="仿宋_GB2312"/>
          <w:sz w:val="28"/>
          <w:szCs w:val="30"/>
        </w:rPr>
        <w:t>5</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rPr>
          <w:rFonts w:ascii="Times New Roman" w:eastAsia="仿宋_GB2312"/>
          <w:b w:val="0"/>
          <w:bCs w:val="0"/>
          <w:caps w:val="0"/>
          <w:sz w:val="28"/>
          <w:szCs w:val="30"/>
        </w:rPr>
      </w:pPr>
      <w:r>
        <w:fldChar w:fldCharType="begin"/>
      </w:r>
      <w:r>
        <w:instrText xml:space="preserve"> HYPERLINK \l "_Toc494016488" </w:instrText>
      </w:r>
      <w:r>
        <w:fldChar w:fldCharType="separate"/>
      </w:r>
      <w:r>
        <w:rPr>
          <w:rStyle w:val="26"/>
          <w:rFonts w:hint="eastAsia" w:ascii="Times New Roman" w:eastAsia="仿宋_GB2312"/>
          <w:sz w:val="28"/>
          <w:szCs w:val="30"/>
        </w:rPr>
        <w:t>五、调研结果分析</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_Toc494016488 \h </w:instrText>
      </w:r>
      <w:r>
        <w:rPr>
          <w:rFonts w:hint="eastAsia" w:ascii="Times New Roman" w:eastAsia="仿宋_GB2312"/>
          <w:sz w:val="28"/>
          <w:szCs w:val="30"/>
        </w:rPr>
        <w:fldChar w:fldCharType="separate"/>
      </w:r>
      <w:r>
        <w:rPr>
          <w:rFonts w:ascii="Times New Roman" w:eastAsia="仿宋_GB2312"/>
          <w:sz w:val="28"/>
          <w:szCs w:val="30"/>
        </w:rPr>
        <w:t>6</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"_Toc494016489" </w:instrText>
      </w:r>
      <w:r>
        <w:fldChar w:fldCharType="separate"/>
      </w:r>
      <w:r>
        <w:rPr>
          <w:rStyle w:val="26"/>
          <w:rFonts w:hint="eastAsia" w:ascii="Times New Roman" w:eastAsia="仿宋_GB2312"/>
          <w:b w:val="0"/>
          <w:sz w:val="28"/>
          <w:szCs w:val="30"/>
        </w:rPr>
        <w:t>（一）国家政策文献调研分析</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_Toc494016489 \h </w:instrText>
      </w:r>
      <w:r>
        <w:rPr>
          <w:rFonts w:hint="eastAsia" w:ascii="Times New Roman" w:eastAsia="仿宋_GB2312"/>
          <w:b w:val="0"/>
          <w:sz w:val="28"/>
          <w:szCs w:val="30"/>
        </w:rPr>
        <w:fldChar w:fldCharType="separate"/>
      </w:r>
      <w:r>
        <w:rPr>
          <w:rFonts w:ascii="Times New Roman" w:eastAsia="仿宋_GB2312"/>
          <w:b w:val="0"/>
          <w:sz w:val="28"/>
          <w:szCs w:val="30"/>
        </w:rPr>
        <w:t>6</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"_Toc494016490" </w:instrText>
      </w:r>
      <w:r>
        <w:fldChar w:fldCharType="separate"/>
      </w:r>
      <w:r>
        <w:rPr>
          <w:rStyle w:val="26"/>
          <w:rFonts w:hint="eastAsia" w:ascii="Times New Roman" w:eastAsia="仿宋_GB2312"/>
          <w:b w:val="0"/>
          <w:sz w:val="28"/>
          <w:szCs w:val="30"/>
        </w:rPr>
        <w:t>（二）行业调研结果分析</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_Toc494016490 \h </w:instrText>
      </w:r>
      <w:r>
        <w:rPr>
          <w:rFonts w:hint="eastAsia" w:ascii="Times New Roman" w:eastAsia="仿宋_GB2312"/>
          <w:b w:val="0"/>
          <w:sz w:val="28"/>
          <w:szCs w:val="30"/>
        </w:rPr>
        <w:fldChar w:fldCharType="separate"/>
      </w:r>
      <w:r>
        <w:rPr>
          <w:rFonts w:ascii="Times New Roman" w:eastAsia="仿宋_GB2312"/>
          <w:b w:val="0"/>
          <w:sz w:val="28"/>
          <w:szCs w:val="30"/>
        </w:rPr>
        <w:t>7</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"_Toc494016491" </w:instrText>
      </w:r>
      <w:r>
        <w:fldChar w:fldCharType="separate"/>
      </w:r>
      <w:r>
        <w:rPr>
          <w:rStyle w:val="26"/>
          <w:rFonts w:hint="eastAsia" w:ascii="Times New Roman" w:eastAsia="仿宋_GB2312"/>
          <w:b w:val="0"/>
          <w:sz w:val="28"/>
          <w:szCs w:val="30"/>
        </w:rPr>
        <w:t>（三）企业人才需求分析及典型职业活动</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_Toc494016491 \h </w:instrText>
      </w:r>
      <w:r>
        <w:rPr>
          <w:rFonts w:hint="eastAsia" w:ascii="Times New Roman" w:eastAsia="仿宋_GB2312"/>
          <w:b w:val="0"/>
          <w:sz w:val="28"/>
          <w:szCs w:val="30"/>
        </w:rPr>
        <w:fldChar w:fldCharType="separate"/>
      </w:r>
      <w:r>
        <w:rPr>
          <w:rFonts w:ascii="Times New Roman" w:eastAsia="仿宋_GB2312"/>
          <w:b w:val="0"/>
          <w:sz w:val="28"/>
          <w:szCs w:val="30"/>
        </w:rPr>
        <w:t>9</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"_Toc494016492" </w:instrText>
      </w:r>
      <w:r>
        <w:fldChar w:fldCharType="separate"/>
      </w:r>
      <w:r>
        <w:rPr>
          <w:rStyle w:val="26"/>
          <w:rFonts w:hint="eastAsia" w:ascii="Times New Roman" w:eastAsia="仿宋_GB2312"/>
          <w:b w:val="0"/>
          <w:sz w:val="28"/>
          <w:szCs w:val="30"/>
        </w:rPr>
        <w:t>（四）专业人才需要的知识、素质、能力</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_Toc494016492 \h </w:instrText>
      </w:r>
      <w:r>
        <w:rPr>
          <w:rFonts w:hint="eastAsia" w:ascii="Times New Roman" w:eastAsia="仿宋_GB2312"/>
          <w:b w:val="0"/>
          <w:sz w:val="28"/>
          <w:szCs w:val="30"/>
        </w:rPr>
        <w:fldChar w:fldCharType="separate"/>
      </w:r>
      <w:r>
        <w:rPr>
          <w:rFonts w:ascii="Times New Roman" w:eastAsia="仿宋_GB2312"/>
          <w:b w:val="0"/>
          <w:sz w:val="28"/>
          <w:szCs w:val="30"/>
        </w:rPr>
        <w:t>12</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"_Toc494016493" </w:instrText>
      </w:r>
      <w:r>
        <w:fldChar w:fldCharType="separate"/>
      </w:r>
      <w:r>
        <w:rPr>
          <w:rStyle w:val="26"/>
          <w:rFonts w:hint="eastAsia" w:ascii="Times New Roman" w:eastAsia="仿宋_GB2312"/>
          <w:b w:val="0"/>
          <w:sz w:val="28"/>
          <w:szCs w:val="30"/>
        </w:rPr>
        <w:t>（五）院校专业教学情况分析</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_Toc494016493 \h </w:instrText>
      </w:r>
      <w:r>
        <w:rPr>
          <w:rFonts w:hint="eastAsia" w:ascii="Times New Roman" w:eastAsia="仿宋_GB2312"/>
          <w:b w:val="0"/>
          <w:sz w:val="28"/>
          <w:szCs w:val="30"/>
        </w:rPr>
        <w:fldChar w:fldCharType="separate"/>
      </w:r>
      <w:r>
        <w:rPr>
          <w:rFonts w:ascii="Times New Roman" w:eastAsia="仿宋_GB2312"/>
          <w:b w:val="0"/>
          <w:sz w:val="28"/>
          <w:szCs w:val="30"/>
        </w:rPr>
        <w:t>14</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10" w:firstLineChars="205"/>
        <w:rPr>
          <w:rFonts w:ascii="Times New Roman" w:eastAsia="仿宋_GB2312"/>
          <w:b w:val="0"/>
          <w:bCs w:val="0"/>
          <w:caps w:val="0"/>
          <w:sz w:val="28"/>
          <w:szCs w:val="30"/>
        </w:rPr>
      </w:pPr>
      <w:r>
        <w:fldChar w:fldCharType="begin"/>
      </w:r>
      <w:r>
        <w:instrText xml:space="preserve"> HYPERLINK \l "_Toc494016494" </w:instrText>
      </w:r>
      <w:r>
        <w:fldChar w:fldCharType="separate"/>
      </w:r>
      <w:r>
        <w:rPr>
          <w:rStyle w:val="26"/>
          <w:rFonts w:hint="eastAsia" w:ascii="Times New Roman" w:eastAsia="仿宋_GB2312"/>
          <w:b w:val="0"/>
          <w:sz w:val="28"/>
          <w:szCs w:val="30"/>
        </w:rPr>
        <w:t>（六）专业建设中最需要解决的突出问题</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_Toc494016494 \h </w:instrText>
      </w:r>
      <w:r>
        <w:rPr>
          <w:rFonts w:hint="eastAsia" w:ascii="Times New Roman" w:eastAsia="仿宋_GB2312"/>
          <w:b w:val="0"/>
          <w:sz w:val="28"/>
          <w:szCs w:val="30"/>
        </w:rPr>
        <w:fldChar w:fldCharType="separate"/>
      </w:r>
      <w:r>
        <w:rPr>
          <w:rFonts w:ascii="Times New Roman" w:eastAsia="仿宋_GB2312"/>
          <w:b w:val="0"/>
          <w:sz w:val="28"/>
          <w:szCs w:val="30"/>
        </w:rPr>
        <w:t>22</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rPr>
          <w:rFonts w:ascii="Times New Roman" w:eastAsia="仿宋_GB2312"/>
          <w:b w:val="0"/>
          <w:bCs w:val="0"/>
          <w:caps w:val="0"/>
          <w:sz w:val="28"/>
          <w:szCs w:val="30"/>
        </w:rPr>
      </w:pPr>
      <w:r>
        <w:fldChar w:fldCharType="begin"/>
      </w:r>
      <w:r>
        <w:instrText xml:space="preserve"> HYPERLINK \l "_Toc494016495" </w:instrText>
      </w:r>
      <w:r>
        <w:fldChar w:fldCharType="separate"/>
      </w:r>
      <w:r>
        <w:rPr>
          <w:rStyle w:val="26"/>
          <w:rFonts w:hint="eastAsia" w:ascii="Times New Roman" w:eastAsia="仿宋_GB2312"/>
          <w:sz w:val="28"/>
          <w:szCs w:val="30"/>
        </w:rPr>
        <w:t>六、调研结论及对策建议</w:t>
      </w:r>
      <w:r>
        <w:rPr>
          <w:rFonts w:hint="eastAsia" w:ascii="Times New Roman" w:eastAsia="仿宋_GB2312"/>
          <w:sz w:val="28"/>
          <w:szCs w:val="30"/>
        </w:rPr>
        <w:tab/>
      </w:r>
      <w:r>
        <w:rPr>
          <w:rFonts w:hint="eastAsia" w:ascii="Times New Roman" w:eastAsia="仿宋_GB2312"/>
          <w:sz w:val="28"/>
          <w:szCs w:val="30"/>
        </w:rPr>
        <w:fldChar w:fldCharType="begin"/>
      </w:r>
      <w:r>
        <w:rPr>
          <w:rFonts w:hint="eastAsia" w:ascii="Times New Roman" w:eastAsia="仿宋_GB2312"/>
          <w:sz w:val="28"/>
          <w:szCs w:val="30"/>
        </w:rPr>
        <w:instrText xml:space="preserve"> PAGEREF _Toc494016495 \h </w:instrText>
      </w:r>
      <w:r>
        <w:rPr>
          <w:rFonts w:hint="eastAsia" w:ascii="Times New Roman" w:eastAsia="仿宋_GB2312"/>
          <w:sz w:val="28"/>
          <w:szCs w:val="30"/>
        </w:rPr>
        <w:fldChar w:fldCharType="separate"/>
      </w:r>
      <w:r>
        <w:rPr>
          <w:rFonts w:ascii="Times New Roman" w:eastAsia="仿宋_GB2312"/>
          <w:sz w:val="28"/>
          <w:szCs w:val="30"/>
        </w:rPr>
        <w:t>22</w:t>
      </w:r>
      <w:r>
        <w:rPr>
          <w:rFonts w:hint="eastAsia" w:ascii="Times New Roman" w:eastAsia="仿宋_GB2312"/>
          <w:sz w:val="28"/>
          <w:szCs w:val="30"/>
        </w:rPr>
        <w:fldChar w:fldCharType="end"/>
      </w:r>
      <w:r>
        <w:rPr>
          <w:rFonts w:hint="eastAsia" w:ascii="Times New Roman" w:eastAsia="仿宋_GB2312"/>
          <w:sz w:val="28"/>
          <w:szCs w:val="30"/>
        </w:rPr>
        <w:fldChar w:fldCharType="end"/>
      </w:r>
    </w:p>
    <w:p>
      <w:pPr>
        <w:pStyle w:val="14"/>
        <w:tabs>
          <w:tab w:val="right" w:leader="dot" w:pos="8296"/>
        </w:tabs>
        <w:ind w:firstLine="420" w:firstLineChars="210"/>
        <w:rPr>
          <w:rFonts w:ascii="Times New Roman" w:eastAsia="仿宋_GB2312"/>
          <w:b w:val="0"/>
          <w:bCs w:val="0"/>
          <w:caps w:val="0"/>
          <w:sz w:val="28"/>
          <w:szCs w:val="30"/>
        </w:rPr>
      </w:pPr>
      <w:r>
        <w:fldChar w:fldCharType="begin"/>
      </w:r>
      <w:r>
        <w:instrText xml:space="preserve"> HYPERLINK \l "_Toc494016496" </w:instrText>
      </w:r>
      <w:r>
        <w:fldChar w:fldCharType="separate"/>
      </w:r>
      <w:r>
        <w:rPr>
          <w:rStyle w:val="26"/>
          <w:rFonts w:hint="eastAsia" w:ascii="Times New Roman" w:eastAsia="仿宋_GB2312"/>
          <w:b w:val="0"/>
          <w:sz w:val="28"/>
          <w:szCs w:val="30"/>
        </w:rPr>
        <w:t>（一）调研结论</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_Toc494016496 \h </w:instrText>
      </w:r>
      <w:r>
        <w:rPr>
          <w:rFonts w:hint="eastAsia" w:ascii="Times New Roman" w:eastAsia="仿宋_GB2312"/>
          <w:b w:val="0"/>
          <w:sz w:val="28"/>
          <w:szCs w:val="30"/>
        </w:rPr>
        <w:fldChar w:fldCharType="separate"/>
      </w:r>
      <w:r>
        <w:rPr>
          <w:rFonts w:ascii="Times New Roman" w:eastAsia="仿宋_GB2312"/>
          <w:b w:val="0"/>
          <w:sz w:val="28"/>
          <w:szCs w:val="30"/>
        </w:rPr>
        <w:t>22</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pStyle w:val="14"/>
        <w:tabs>
          <w:tab w:val="right" w:leader="dot" w:pos="8296"/>
        </w:tabs>
        <w:ind w:firstLine="420" w:firstLineChars="210"/>
        <w:rPr>
          <w:rFonts w:ascii="Times New Roman" w:eastAsia="仿宋_GB2312"/>
          <w:b w:val="0"/>
          <w:bCs w:val="0"/>
          <w:caps w:val="0"/>
          <w:sz w:val="28"/>
          <w:szCs w:val="30"/>
        </w:rPr>
      </w:pPr>
      <w:r>
        <w:fldChar w:fldCharType="begin"/>
      </w:r>
      <w:r>
        <w:instrText xml:space="preserve"> HYPERLINK \l "_Toc494016497" </w:instrText>
      </w:r>
      <w:r>
        <w:fldChar w:fldCharType="separate"/>
      </w:r>
      <w:r>
        <w:rPr>
          <w:rStyle w:val="26"/>
          <w:rFonts w:hint="eastAsia" w:ascii="Times New Roman" w:eastAsia="仿宋_GB2312"/>
          <w:b w:val="0"/>
          <w:sz w:val="28"/>
          <w:szCs w:val="30"/>
        </w:rPr>
        <w:t>（二）对策建议</w:t>
      </w:r>
      <w:r>
        <w:rPr>
          <w:rFonts w:hint="eastAsia" w:ascii="Times New Roman" w:eastAsia="仿宋_GB2312"/>
          <w:b w:val="0"/>
          <w:sz w:val="28"/>
          <w:szCs w:val="30"/>
        </w:rPr>
        <w:tab/>
      </w:r>
      <w:r>
        <w:rPr>
          <w:rFonts w:hint="eastAsia" w:ascii="Times New Roman" w:eastAsia="仿宋_GB2312"/>
          <w:b w:val="0"/>
          <w:sz w:val="28"/>
          <w:szCs w:val="30"/>
        </w:rPr>
        <w:fldChar w:fldCharType="begin"/>
      </w:r>
      <w:r>
        <w:rPr>
          <w:rFonts w:hint="eastAsia" w:ascii="Times New Roman" w:eastAsia="仿宋_GB2312"/>
          <w:b w:val="0"/>
          <w:sz w:val="28"/>
          <w:szCs w:val="30"/>
        </w:rPr>
        <w:instrText xml:space="preserve"> PAGEREF _Toc494016497 \h </w:instrText>
      </w:r>
      <w:r>
        <w:rPr>
          <w:rFonts w:hint="eastAsia" w:ascii="Times New Roman" w:eastAsia="仿宋_GB2312"/>
          <w:b w:val="0"/>
          <w:sz w:val="28"/>
          <w:szCs w:val="30"/>
        </w:rPr>
        <w:fldChar w:fldCharType="separate"/>
      </w:r>
      <w:r>
        <w:rPr>
          <w:rFonts w:ascii="Times New Roman" w:eastAsia="仿宋_GB2312"/>
          <w:b w:val="0"/>
          <w:sz w:val="28"/>
          <w:szCs w:val="30"/>
        </w:rPr>
        <w:t>23</w:t>
      </w:r>
      <w:r>
        <w:rPr>
          <w:rFonts w:hint="eastAsia" w:ascii="Times New Roman" w:eastAsia="仿宋_GB2312"/>
          <w:b w:val="0"/>
          <w:sz w:val="28"/>
          <w:szCs w:val="30"/>
        </w:rPr>
        <w:fldChar w:fldCharType="end"/>
      </w:r>
      <w:r>
        <w:rPr>
          <w:rFonts w:hint="eastAsia" w:ascii="Times New Roman" w:eastAsia="仿宋_GB2312"/>
          <w:b w:val="0"/>
          <w:sz w:val="28"/>
          <w:szCs w:val="30"/>
        </w:rPr>
        <w:fldChar w:fldCharType="end"/>
      </w:r>
    </w:p>
    <w:p>
      <w:pPr>
        <w:widowControl/>
        <w:jc w:val="left"/>
        <w:rPr>
          <w:rFonts w:eastAsia="黑体"/>
          <w:sz w:val="36"/>
          <w:szCs w:val="36"/>
        </w:rPr>
      </w:pPr>
      <w:r>
        <w:rPr>
          <w:rFonts w:hint="eastAsia"/>
          <w:sz w:val="28"/>
          <w:szCs w:val="30"/>
        </w:rPr>
        <w:fldChar w:fldCharType="end"/>
      </w:r>
    </w:p>
    <w:p>
      <w:pPr>
        <w:widowControl/>
        <w:jc w:val="left"/>
        <w:rPr>
          <w:rFonts w:eastAsia="黑体"/>
          <w:b/>
          <w:sz w:val="30"/>
        </w:rPr>
        <w:sectPr>
          <w:footerReference r:id="rId4" w:type="default"/>
          <w:pgSz w:w="11906" w:h="16838"/>
          <w:pgMar w:top="1440" w:right="1800" w:bottom="1440" w:left="1800" w:header="851" w:footer="992" w:gutter="0"/>
          <w:pgNumType w:start="1"/>
          <w:cols w:space="425" w:num="1"/>
          <w:docGrid w:type="lines" w:linePitch="435" w:charSpace="0"/>
        </w:sectPr>
      </w:pPr>
      <w:bookmarkStart w:id="0" w:name="_Toc492851713"/>
      <w:bookmarkStart w:id="1" w:name="_Toc493777255"/>
      <w:r>
        <w:rPr>
          <w:rFonts w:eastAsia="黑体"/>
          <w:b/>
          <w:sz w:val="30"/>
        </w:rPr>
        <w:br w:type="page"/>
      </w:r>
    </w:p>
    <w:p>
      <w:pPr>
        <w:pStyle w:val="2"/>
        <w:spacing w:before="120" w:after="120" w:line="560" w:lineRule="exact"/>
        <w:ind w:firstLine="600" w:firstLineChars="200"/>
        <w:rPr>
          <w:rFonts w:eastAsia="黑体"/>
          <w:b w:val="0"/>
          <w:sz w:val="30"/>
        </w:rPr>
      </w:pPr>
      <w:bookmarkStart w:id="2" w:name="_Toc494016481"/>
      <w:r>
        <w:rPr>
          <w:rFonts w:eastAsia="黑体"/>
          <w:b w:val="0"/>
          <w:sz w:val="30"/>
        </w:rPr>
        <w:t>一、调研目的</w:t>
      </w:r>
      <w:bookmarkEnd w:id="0"/>
      <w:bookmarkEnd w:id="1"/>
      <w:bookmarkEnd w:id="2"/>
    </w:p>
    <w:p>
      <w:pPr>
        <w:spacing w:line="560" w:lineRule="exact"/>
        <w:ind w:firstLine="560" w:firstLineChars="200"/>
        <w:rPr>
          <w:sz w:val="30"/>
          <w:szCs w:val="30"/>
        </w:rPr>
      </w:pPr>
      <w:bookmarkStart w:id="3" w:name="OLE_LINK1"/>
      <w:r>
        <w:rPr>
          <w:rFonts w:hint="eastAsia" w:ascii="仿宋" w:hAnsi="仿宋" w:eastAsia="仿宋"/>
          <w:sz w:val="28"/>
          <w:szCs w:val="28"/>
        </w:rPr>
        <w:t>为贯彻落实教育部等六部委印发的《高职扩招专项工作实施方案》（教职成〔2019〕12号）及省《实施方案》要求，</w:t>
      </w:r>
      <w:bookmarkEnd w:id="3"/>
      <w:r>
        <w:rPr>
          <w:rFonts w:hint="eastAsia" w:ascii="仿宋" w:hAnsi="仿宋" w:eastAsia="仿宋"/>
          <w:sz w:val="28"/>
          <w:szCs w:val="28"/>
        </w:rPr>
        <w:t>按照《教育部关于职业院校专业人才培养方案制订与实施工作的指导意见》（教职成〔2019〕13号）和《安徽省教育厅关于做好高等职业院校面向社会人员扩招工作的通知》（皖教秘高〔2019〕45号）等文件要求，对接国家专业教学标准，优化专业人才培养方案，创新人才培养方式，</w:t>
      </w:r>
    </w:p>
    <w:p>
      <w:pPr>
        <w:spacing w:line="560" w:lineRule="exact"/>
        <w:rPr>
          <w:sz w:val="30"/>
          <w:szCs w:val="30"/>
        </w:rPr>
      </w:pPr>
      <w:r>
        <w:rPr>
          <w:sz w:val="30"/>
          <w:szCs w:val="30"/>
        </w:rPr>
        <w:t>分区域面向典型企业、职业院校、毕业生及从业人员等进行广泛、深入的调研，全面掌握目前连锁经营管理专业人才的供需状况、职业岗位设置、典型工作任务，以及从业人员应具备的知识、能力、素质等要求，为后续制订高质量的连锁经营管理专业高等职业学校专业教学标准提供全面、客观的依据。</w:t>
      </w:r>
    </w:p>
    <w:p>
      <w:pPr>
        <w:pStyle w:val="2"/>
        <w:spacing w:before="120" w:after="120" w:line="560" w:lineRule="exact"/>
        <w:ind w:firstLine="600" w:firstLineChars="200"/>
        <w:rPr>
          <w:rFonts w:eastAsia="黑体"/>
          <w:b w:val="0"/>
          <w:sz w:val="30"/>
        </w:rPr>
      </w:pPr>
      <w:bookmarkStart w:id="4" w:name="_Toc494016482"/>
      <w:bookmarkStart w:id="5" w:name="_Toc493777256"/>
      <w:bookmarkStart w:id="6" w:name="_Toc492851714"/>
      <w:r>
        <w:rPr>
          <w:rFonts w:eastAsia="黑体"/>
          <w:b w:val="0"/>
          <w:sz w:val="30"/>
        </w:rPr>
        <w:t>二、调研对象</w:t>
      </w:r>
      <w:bookmarkEnd w:id="4"/>
      <w:bookmarkEnd w:id="5"/>
      <w:bookmarkEnd w:id="6"/>
    </w:p>
    <w:p>
      <w:pPr>
        <w:spacing w:line="560" w:lineRule="exact"/>
        <w:ind w:firstLine="600" w:firstLineChars="200"/>
        <w:rPr>
          <w:sz w:val="30"/>
          <w:szCs w:val="30"/>
        </w:rPr>
      </w:pPr>
      <w:r>
        <w:rPr>
          <w:sz w:val="30"/>
          <w:szCs w:val="30"/>
        </w:rPr>
        <w:t>本次调研的对象包括如下几类：</w:t>
      </w:r>
      <w:r>
        <w:rPr>
          <w:sz w:val="30"/>
          <w:szCs w:val="30"/>
        </w:rPr>
        <w:tab/>
      </w:r>
    </w:p>
    <w:p>
      <w:pPr>
        <w:spacing w:line="560" w:lineRule="exact"/>
        <w:ind w:firstLine="602" w:firstLineChars="200"/>
        <w:rPr>
          <w:b/>
          <w:sz w:val="30"/>
          <w:szCs w:val="30"/>
        </w:rPr>
      </w:pPr>
      <w:bookmarkStart w:id="7" w:name="_Toc492851715"/>
      <w:r>
        <w:rPr>
          <w:b/>
          <w:sz w:val="30"/>
          <w:szCs w:val="30"/>
        </w:rPr>
        <w:t>1</w:t>
      </w:r>
      <w:r>
        <w:rPr>
          <w:rFonts w:hint="eastAsia"/>
          <w:b/>
          <w:sz w:val="30"/>
          <w:szCs w:val="30"/>
        </w:rPr>
        <w:t>．</w:t>
      </w:r>
      <w:r>
        <w:rPr>
          <w:b/>
          <w:sz w:val="30"/>
          <w:szCs w:val="30"/>
        </w:rPr>
        <w:t>企业</w:t>
      </w:r>
      <w:bookmarkEnd w:id="7"/>
    </w:p>
    <w:p>
      <w:pPr>
        <w:spacing w:line="560" w:lineRule="exact"/>
        <w:ind w:firstLine="600" w:firstLineChars="200"/>
        <w:rPr>
          <w:sz w:val="30"/>
          <w:szCs w:val="30"/>
        </w:rPr>
      </w:pPr>
      <w:r>
        <w:rPr>
          <w:sz w:val="30"/>
          <w:szCs w:val="30"/>
        </w:rPr>
        <w:t>通过发放问卷和实地走访相结合的方式，调研了全国东、中、西部17个省、自治区和直辖市的72家企业。调研企业包括连锁零售业及服务业的各种业态，覆盖大、中、小型各类企业，其中员工人数超过2000人的企业33家，占45.83%；1999至100人的企业28家，占38.89%；100人以下的企业11家，占15.28%。调研企业中35家实施了“互联网+零售”战略，推进全渠道（O2O）经营的转型升级，体现了行业发展最新动态。其中重点调研了永辉超市有限公司、麦当劳餐饮管理有限公司、天虹商场股份有限公司、首旅如家酒店管理有限公司、浙江物美超市有限公司、孩子王儿童用品股份有限公司等8家企业。</w:t>
      </w:r>
    </w:p>
    <w:p>
      <w:pPr>
        <w:snapToGrid w:val="0"/>
        <w:spacing w:line="560" w:lineRule="exact"/>
        <w:jc w:val="center"/>
        <w:rPr>
          <w:b/>
          <w:sz w:val="24"/>
          <w:szCs w:val="24"/>
        </w:rPr>
      </w:pPr>
      <w:r>
        <w:rPr>
          <w:b/>
          <w:sz w:val="24"/>
          <w:szCs w:val="24"/>
        </w:rPr>
        <w:t>表2-1</w:t>
      </w:r>
      <w:r>
        <w:rPr>
          <w:rFonts w:hint="eastAsia"/>
          <w:b/>
          <w:sz w:val="24"/>
          <w:szCs w:val="24"/>
        </w:rPr>
        <w:t xml:space="preserve"> </w:t>
      </w:r>
      <w:r>
        <w:rPr>
          <w:b/>
          <w:sz w:val="24"/>
          <w:szCs w:val="24"/>
        </w:rPr>
        <w:t>典型企业基本情况</w:t>
      </w:r>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402"/>
        <w:gridCol w:w="1134"/>
        <w:gridCol w:w="1276"/>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288" w:lineRule="auto"/>
              <w:rPr>
                <w:b/>
                <w:sz w:val="24"/>
                <w:szCs w:val="24"/>
              </w:rPr>
            </w:pPr>
            <w:r>
              <w:rPr>
                <w:b/>
                <w:sz w:val="24"/>
                <w:szCs w:val="24"/>
              </w:rPr>
              <w:t>序号</w:t>
            </w:r>
          </w:p>
        </w:tc>
        <w:tc>
          <w:tcPr>
            <w:tcW w:w="3402" w:type="dxa"/>
          </w:tcPr>
          <w:p>
            <w:pPr>
              <w:spacing w:line="288" w:lineRule="auto"/>
              <w:jc w:val="center"/>
              <w:rPr>
                <w:b/>
                <w:sz w:val="24"/>
                <w:szCs w:val="24"/>
              </w:rPr>
            </w:pPr>
            <w:r>
              <w:rPr>
                <w:b/>
                <w:sz w:val="24"/>
                <w:szCs w:val="24"/>
              </w:rPr>
              <w:t>企业名称</w:t>
            </w:r>
          </w:p>
        </w:tc>
        <w:tc>
          <w:tcPr>
            <w:tcW w:w="1134" w:type="dxa"/>
          </w:tcPr>
          <w:p>
            <w:pPr>
              <w:spacing w:line="288" w:lineRule="auto"/>
              <w:jc w:val="center"/>
              <w:rPr>
                <w:b/>
                <w:sz w:val="24"/>
                <w:szCs w:val="24"/>
              </w:rPr>
            </w:pPr>
            <w:r>
              <w:rPr>
                <w:b/>
                <w:sz w:val="24"/>
                <w:szCs w:val="24"/>
              </w:rPr>
              <w:t>行业</w:t>
            </w:r>
          </w:p>
        </w:tc>
        <w:tc>
          <w:tcPr>
            <w:tcW w:w="1276" w:type="dxa"/>
          </w:tcPr>
          <w:p>
            <w:pPr>
              <w:spacing w:line="288" w:lineRule="auto"/>
              <w:jc w:val="center"/>
              <w:rPr>
                <w:b/>
                <w:sz w:val="24"/>
                <w:szCs w:val="24"/>
              </w:rPr>
            </w:pPr>
            <w:r>
              <w:rPr>
                <w:b/>
                <w:sz w:val="24"/>
                <w:szCs w:val="24"/>
              </w:rPr>
              <w:t>规模</w:t>
            </w:r>
          </w:p>
        </w:tc>
        <w:tc>
          <w:tcPr>
            <w:tcW w:w="1893" w:type="dxa"/>
          </w:tcPr>
          <w:p>
            <w:pPr>
              <w:spacing w:line="288" w:lineRule="auto"/>
              <w:jc w:val="center"/>
              <w:rPr>
                <w:b/>
                <w:sz w:val="24"/>
                <w:szCs w:val="24"/>
              </w:rPr>
            </w:pPr>
            <w:r>
              <w:rPr>
                <w:b/>
                <w:sz w:val="24"/>
                <w:szCs w:val="24"/>
              </w:rPr>
              <w:t>业态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288" w:lineRule="auto"/>
              <w:jc w:val="center"/>
              <w:rPr>
                <w:sz w:val="24"/>
                <w:szCs w:val="24"/>
              </w:rPr>
            </w:pPr>
            <w:r>
              <w:rPr>
                <w:sz w:val="24"/>
                <w:szCs w:val="24"/>
              </w:rPr>
              <w:t>1</w:t>
            </w:r>
          </w:p>
        </w:tc>
        <w:tc>
          <w:tcPr>
            <w:tcW w:w="3402" w:type="dxa"/>
            <w:vAlign w:val="center"/>
          </w:tcPr>
          <w:p>
            <w:pPr>
              <w:spacing w:line="288" w:lineRule="auto"/>
              <w:rPr>
                <w:sz w:val="24"/>
                <w:szCs w:val="24"/>
              </w:rPr>
            </w:pPr>
            <w:r>
              <w:rPr>
                <w:sz w:val="24"/>
                <w:szCs w:val="24"/>
              </w:rPr>
              <w:t>永辉超市有限公司</w:t>
            </w:r>
          </w:p>
        </w:tc>
        <w:tc>
          <w:tcPr>
            <w:tcW w:w="1134" w:type="dxa"/>
            <w:vAlign w:val="center"/>
          </w:tcPr>
          <w:p>
            <w:pPr>
              <w:spacing w:line="288" w:lineRule="auto"/>
              <w:jc w:val="center"/>
              <w:rPr>
                <w:sz w:val="24"/>
                <w:szCs w:val="24"/>
              </w:rPr>
            </w:pPr>
            <w:r>
              <w:rPr>
                <w:sz w:val="24"/>
                <w:szCs w:val="24"/>
              </w:rPr>
              <w:t>零售业</w:t>
            </w:r>
          </w:p>
        </w:tc>
        <w:tc>
          <w:tcPr>
            <w:tcW w:w="1276" w:type="dxa"/>
            <w:vAlign w:val="center"/>
          </w:tcPr>
          <w:p>
            <w:pPr>
              <w:spacing w:line="288" w:lineRule="auto"/>
              <w:jc w:val="center"/>
              <w:rPr>
                <w:sz w:val="24"/>
                <w:szCs w:val="24"/>
              </w:rPr>
            </w:pPr>
            <w:r>
              <w:rPr>
                <w:sz w:val="24"/>
                <w:szCs w:val="24"/>
              </w:rPr>
              <w:t>大</w:t>
            </w:r>
          </w:p>
        </w:tc>
        <w:tc>
          <w:tcPr>
            <w:tcW w:w="1893" w:type="dxa"/>
            <w:vAlign w:val="center"/>
          </w:tcPr>
          <w:p>
            <w:pPr>
              <w:spacing w:line="288" w:lineRule="auto"/>
              <w:jc w:val="center"/>
              <w:rPr>
                <w:sz w:val="24"/>
                <w:szCs w:val="24"/>
              </w:rPr>
            </w:pPr>
            <w:r>
              <w:rPr>
                <w:sz w:val="24"/>
                <w:szCs w:val="24"/>
              </w:rPr>
              <w:t>超市连锁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288" w:lineRule="auto"/>
              <w:jc w:val="center"/>
              <w:rPr>
                <w:sz w:val="24"/>
                <w:szCs w:val="24"/>
              </w:rPr>
            </w:pPr>
            <w:r>
              <w:rPr>
                <w:sz w:val="24"/>
                <w:szCs w:val="24"/>
              </w:rPr>
              <w:t>2</w:t>
            </w:r>
          </w:p>
        </w:tc>
        <w:tc>
          <w:tcPr>
            <w:tcW w:w="3402" w:type="dxa"/>
            <w:vAlign w:val="center"/>
          </w:tcPr>
          <w:p>
            <w:pPr>
              <w:spacing w:line="288" w:lineRule="auto"/>
              <w:rPr>
                <w:sz w:val="24"/>
                <w:szCs w:val="24"/>
              </w:rPr>
            </w:pPr>
            <w:r>
              <w:rPr>
                <w:sz w:val="24"/>
                <w:szCs w:val="24"/>
              </w:rPr>
              <w:t>麦当劳餐饮管理有限公司</w:t>
            </w:r>
          </w:p>
        </w:tc>
        <w:tc>
          <w:tcPr>
            <w:tcW w:w="1134" w:type="dxa"/>
            <w:vAlign w:val="center"/>
          </w:tcPr>
          <w:p>
            <w:pPr>
              <w:spacing w:line="288" w:lineRule="auto"/>
              <w:jc w:val="center"/>
              <w:rPr>
                <w:sz w:val="24"/>
                <w:szCs w:val="24"/>
              </w:rPr>
            </w:pPr>
            <w:r>
              <w:rPr>
                <w:sz w:val="24"/>
                <w:szCs w:val="24"/>
              </w:rPr>
              <w:t>餐饮业</w:t>
            </w:r>
          </w:p>
        </w:tc>
        <w:tc>
          <w:tcPr>
            <w:tcW w:w="1276" w:type="dxa"/>
            <w:vAlign w:val="center"/>
          </w:tcPr>
          <w:p>
            <w:pPr>
              <w:spacing w:line="288" w:lineRule="auto"/>
              <w:jc w:val="center"/>
              <w:rPr>
                <w:sz w:val="24"/>
                <w:szCs w:val="24"/>
              </w:rPr>
            </w:pPr>
            <w:r>
              <w:rPr>
                <w:sz w:val="24"/>
                <w:szCs w:val="24"/>
              </w:rPr>
              <w:t>大</w:t>
            </w:r>
          </w:p>
        </w:tc>
        <w:tc>
          <w:tcPr>
            <w:tcW w:w="1893" w:type="dxa"/>
            <w:vAlign w:val="center"/>
          </w:tcPr>
          <w:p>
            <w:pPr>
              <w:spacing w:line="288" w:lineRule="auto"/>
              <w:jc w:val="center"/>
              <w:rPr>
                <w:sz w:val="24"/>
                <w:szCs w:val="24"/>
              </w:rPr>
            </w:pPr>
            <w:r>
              <w:rPr>
                <w:sz w:val="24"/>
                <w:szCs w:val="24"/>
              </w:rPr>
              <w:t>餐厅连锁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288" w:lineRule="auto"/>
              <w:jc w:val="center"/>
              <w:rPr>
                <w:sz w:val="24"/>
                <w:szCs w:val="24"/>
              </w:rPr>
            </w:pPr>
            <w:r>
              <w:rPr>
                <w:sz w:val="24"/>
                <w:szCs w:val="24"/>
              </w:rPr>
              <w:t>3</w:t>
            </w:r>
          </w:p>
        </w:tc>
        <w:tc>
          <w:tcPr>
            <w:tcW w:w="3402" w:type="dxa"/>
            <w:vAlign w:val="center"/>
          </w:tcPr>
          <w:p>
            <w:pPr>
              <w:spacing w:line="288" w:lineRule="auto"/>
              <w:rPr>
                <w:sz w:val="24"/>
                <w:szCs w:val="24"/>
              </w:rPr>
            </w:pPr>
            <w:r>
              <w:rPr>
                <w:sz w:val="24"/>
                <w:szCs w:val="24"/>
              </w:rPr>
              <w:t>天虹商场股份有限公司</w:t>
            </w:r>
          </w:p>
        </w:tc>
        <w:tc>
          <w:tcPr>
            <w:tcW w:w="1134" w:type="dxa"/>
            <w:vAlign w:val="center"/>
          </w:tcPr>
          <w:p>
            <w:pPr>
              <w:spacing w:line="288" w:lineRule="auto"/>
              <w:jc w:val="center"/>
              <w:rPr>
                <w:sz w:val="24"/>
                <w:szCs w:val="24"/>
              </w:rPr>
            </w:pPr>
            <w:r>
              <w:rPr>
                <w:sz w:val="24"/>
                <w:szCs w:val="24"/>
              </w:rPr>
              <w:t>零售业</w:t>
            </w:r>
          </w:p>
        </w:tc>
        <w:tc>
          <w:tcPr>
            <w:tcW w:w="1276" w:type="dxa"/>
            <w:vAlign w:val="center"/>
          </w:tcPr>
          <w:p>
            <w:pPr>
              <w:spacing w:line="288" w:lineRule="auto"/>
              <w:jc w:val="center"/>
              <w:rPr>
                <w:sz w:val="24"/>
                <w:szCs w:val="24"/>
              </w:rPr>
            </w:pPr>
            <w:r>
              <w:rPr>
                <w:sz w:val="24"/>
                <w:szCs w:val="24"/>
              </w:rPr>
              <w:t>大</w:t>
            </w:r>
          </w:p>
        </w:tc>
        <w:tc>
          <w:tcPr>
            <w:tcW w:w="1893" w:type="dxa"/>
            <w:vAlign w:val="center"/>
          </w:tcPr>
          <w:p>
            <w:pPr>
              <w:spacing w:line="288" w:lineRule="auto"/>
              <w:jc w:val="center"/>
              <w:rPr>
                <w:sz w:val="24"/>
                <w:szCs w:val="24"/>
              </w:rPr>
            </w:pPr>
            <w:r>
              <w:rPr>
                <w:sz w:val="24"/>
                <w:szCs w:val="24"/>
              </w:rPr>
              <w:t>百货连锁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288" w:lineRule="auto"/>
              <w:jc w:val="center"/>
              <w:rPr>
                <w:sz w:val="24"/>
                <w:szCs w:val="24"/>
              </w:rPr>
            </w:pPr>
            <w:r>
              <w:rPr>
                <w:sz w:val="24"/>
                <w:szCs w:val="24"/>
              </w:rPr>
              <w:t>4</w:t>
            </w:r>
          </w:p>
        </w:tc>
        <w:tc>
          <w:tcPr>
            <w:tcW w:w="3402" w:type="dxa"/>
            <w:vAlign w:val="center"/>
          </w:tcPr>
          <w:p>
            <w:pPr>
              <w:spacing w:line="288" w:lineRule="auto"/>
              <w:rPr>
                <w:sz w:val="24"/>
                <w:szCs w:val="24"/>
              </w:rPr>
            </w:pPr>
            <w:r>
              <w:rPr>
                <w:sz w:val="24"/>
                <w:szCs w:val="24"/>
              </w:rPr>
              <w:t>首旅如家酒店管理有限公司</w:t>
            </w:r>
          </w:p>
        </w:tc>
        <w:tc>
          <w:tcPr>
            <w:tcW w:w="1134" w:type="dxa"/>
            <w:vAlign w:val="center"/>
          </w:tcPr>
          <w:p>
            <w:pPr>
              <w:spacing w:line="288" w:lineRule="auto"/>
              <w:jc w:val="center"/>
              <w:rPr>
                <w:sz w:val="24"/>
                <w:szCs w:val="24"/>
              </w:rPr>
            </w:pPr>
            <w:r>
              <w:rPr>
                <w:sz w:val="24"/>
                <w:szCs w:val="24"/>
              </w:rPr>
              <w:t>住宿业</w:t>
            </w:r>
          </w:p>
        </w:tc>
        <w:tc>
          <w:tcPr>
            <w:tcW w:w="1276" w:type="dxa"/>
            <w:vAlign w:val="center"/>
          </w:tcPr>
          <w:p>
            <w:pPr>
              <w:spacing w:line="288" w:lineRule="auto"/>
              <w:jc w:val="center"/>
              <w:rPr>
                <w:sz w:val="24"/>
                <w:szCs w:val="24"/>
              </w:rPr>
            </w:pPr>
            <w:r>
              <w:rPr>
                <w:sz w:val="24"/>
                <w:szCs w:val="24"/>
              </w:rPr>
              <w:t>大</w:t>
            </w:r>
          </w:p>
        </w:tc>
        <w:tc>
          <w:tcPr>
            <w:tcW w:w="1893" w:type="dxa"/>
            <w:vAlign w:val="center"/>
          </w:tcPr>
          <w:p>
            <w:pPr>
              <w:spacing w:line="288" w:lineRule="auto"/>
              <w:jc w:val="center"/>
              <w:rPr>
                <w:sz w:val="24"/>
                <w:szCs w:val="24"/>
              </w:rPr>
            </w:pPr>
            <w:r>
              <w:rPr>
                <w:sz w:val="24"/>
                <w:szCs w:val="24"/>
              </w:rPr>
              <w:t>酒店连锁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288" w:lineRule="auto"/>
              <w:jc w:val="center"/>
              <w:rPr>
                <w:sz w:val="24"/>
                <w:szCs w:val="24"/>
              </w:rPr>
            </w:pPr>
            <w:r>
              <w:rPr>
                <w:sz w:val="24"/>
                <w:szCs w:val="24"/>
              </w:rPr>
              <w:t>5</w:t>
            </w:r>
          </w:p>
        </w:tc>
        <w:tc>
          <w:tcPr>
            <w:tcW w:w="3402" w:type="dxa"/>
          </w:tcPr>
          <w:p>
            <w:pPr>
              <w:spacing w:line="288" w:lineRule="auto"/>
              <w:rPr>
                <w:sz w:val="24"/>
                <w:szCs w:val="24"/>
              </w:rPr>
            </w:pPr>
            <w:r>
              <w:rPr>
                <w:sz w:val="24"/>
                <w:szCs w:val="24"/>
              </w:rPr>
              <w:t>浙江物美超市有限公司</w:t>
            </w:r>
          </w:p>
        </w:tc>
        <w:tc>
          <w:tcPr>
            <w:tcW w:w="1134" w:type="dxa"/>
          </w:tcPr>
          <w:p>
            <w:pPr>
              <w:spacing w:line="288" w:lineRule="auto"/>
              <w:jc w:val="center"/>
              <w:rPr>
                <w:sz w:val="24"/>
                <w:szCs w:val="24"/>
              </w:rPr>
            </w:pPr>
            <w:r>
              <w:rPr>
                <w:sz w:val="24"/>
                <w:szCs w:val="24"/>
              </w:rPr>
              <w:t>零售业</w:t>
            </w:r>
          </w:p>
        </w:tc>
        <w:tc>
          <w:tcPr>
            <w:tcW w:w="1276" w:type="dxa"/>
          </w:tcPr>
          <w:p>
            <w:pPr>
              <w:spacing w:line="288" w:lineRule="auto"/>
              <w:jc w:val="center"/>
              <w:rPr>
                <w:sz w:val="24"/>
                <w:szCs w:val="24"/>
              </w:rPr>
            </w:pPr>
            <w:r>
              <w:rPr>
                <w:sz w:val="24"/>
                <w:szCs w:val="24"/>
              </w:rPr>
              <w:t>大</w:t>
            </w:r>
          </w:p>
        </w:tc>
        <w:tc>
          <w:tcPr>
            <w:tcW w:w="1893" w:type="dxa"/>
          </w:tcPr>
          <w:p>
            <w:pPr>
              <w:spacing w:line="288" w:lineRule="auto"/>
              <w:jc w:val="center"/>
              <w:rPr>
                <w:sz w:val="24"/>
                <w:szCs w:val="24"/>
              </w:rPr>
            </w:pPr>
            <w:r>
              <w:rPr>
                <w:sz w:val="24"/>
                <w:szCs w:val="24"/>
              </w:rPr>
              <w:t>超市连锁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288" w:lineRule="auto"/>
              <w:jc w:val="center"/>
              <w:rPr>
                <w:sz w:val="24"/>
                <w:szCs w:val="24"/>
              </w:rPr>
            </w:pPr>
            <w:r>
              <w:rPr>
                <w:sz w:val="24"/>
                <w:szCs w:val="24"/>
              </w:rPr>
              <w:t>6</w:t>
            </w:r>
          </w:p>
        </w:tc>
        <w:tc>
          <w:tcPr>
            <w:tcW w:w="3402" w:type="dxa"/>
          </w:tcPr>
          <w:p>
            <w:pPr>
              <w:spacing w:line="288" w:lineRule="auto"/>
              <w:rPr>
                <w:sz w:val="24"/>
                <w:szCs w:val="24"/>
              </w:rPr>
            </w:pPr>
            <w:r>
              <w:rPr>
                <w:sz w:val="24"/>
                <w:szCs w:val="24"/>
              </w:rPr>
              <w:t>孩子王儿童用品股份有限公司</w:t>
            </w:r>
          </w:p>
        </w:tc>
        <w:tc>
          <w:tcPr>
            <w:tcW w:w="1134" w:type="dxa"/>
          </w:tcPr>
          <w:p>
            <w:pPr>
              <w:spacing w:line="288" w:lineRule="auto"/>
              <w:jc w:val="center"/>
              <w:rPr>
                <w:sz w:val="24"/>
                <w:szCs w:val="24"/>
              </w:rPr>
            </w:pPr>
            <w:r>
              <w:rPr>
                <w:sz w:val="24"/>
                <w:szCs w:val="24"/>
              </w:rPr>
              <w:t>零售业</w:t>
            </w:r>
          </w:p>
        </w:tc>
        <w:tc>
          <w:tcPr>
            <w:tcW w:w="1276" w:type="dxa"/>
          </w:tcPr>
          <w:p>
            <w:pPr>
              <w:spacing w:line="288" w:lineRule="auto"/>
              <w:jc w:val="center"/>
              <w:rPr>
                <w:sz w:val="24"/>
                <w:szCs w:val="24"/>
              </w:rPr>
            </w:pPr>
            <w:r>
              <w:rPr>
                <w:sz w:val="24"/>
                <w:szCs w:val="24"/>
              </w:rPr>
              <w:t>中</w:t>
            </w:r>
          </w:p>
        </w:tc>
        <w:tc>
          <w:tcPr>
            <w:tcW w:w="1893" w:type="dxa"/>
          </w:tcPr>
          <w:p>
            <w:pPr>
              <w:spacing w:line="288" w:lineRule="auto"/>
              <w:jc w:val="center"/>
              <w:rPr>
                <w:sz w:val="24"/>
                <w:szCs w:val="24"/>
              </w:rPr>
            </w:pPr>
            <w:r>
              <w:rPr>
                <w:sz w:val="24"/>
                <w:szCs w:val="24"/>
              </w:rPr>
              <w:t>图书连锁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288" w:lineRule="auto"/>
              <w:jc w:val="center"/>
              <w:rPr>
                <w:sz w:val="24"/>
                <w:szCs w:val="24"/>
              </w:rPr>
            </w:pPr>
            <w:r>
              <w:rPr>
                <w:sz w:val="24"/>
                <w:szCs w:val="24"/>
              </w:rPr>
              <w:t>7</w:t>
            </w:r>
          </w:p>
        </w:tc>
        <w:tc>
          <w:tcPr>
            <w:tcW w:w="3402" w:type="dxa"/>
          </w:tcPr>
          <w:p>
            <w:pPr>
              <w:spacing w:line="288" w:lineRule="auto"/>
              <w:rPr>
                <w:sz w:val="24"/>
                <w:szCs w:val="24"/>
              </w:rPr>
            </w:pPr>
            <w:r>
              <w:rPr>
                <w:sz w:val="24"/>
                <w:szCs w:val="24"/>
              </w:rPr>
              <w:t>济南华联超市有限公司</w:t>
            </w:r>
          </w:p>
        </w:tc>
        <w:tc>
          <w:tcPr>
            <w:tcW w:w="1134" w:type="dxa"/>
          </w:tcPr>
          <w:p>
            <w:pPr>
              <w:spacing w:line="288" w:lineRule="auto"/>
              <w:jc w:val="center"/>
              <w:rPr>
                <w:sz w:val="24"/>
                <w:szCs w:val="24"/>
              </w:rPr>
            </w:pPr>
            <w:r>
              <w:rPr>
                <w:sz w:val="24"/>
                <w:szCs w:val="24"/>
              </w:rPr>
              <w:t>零售业</w:t>
            </w:r>
          </w:p>
        </w:tc>
        <w:tc>
          <w:tcPr>
            <w:tcW w:w="1276" w:type="dxa"/>
          </w:tcPr>
          <w:p>
            <w:pPr>
              <w:spacing w:line="288" w:lineRule="auto"/>
              <w:jc w:val="center"/>
              <w:rPr>
                <w:sz w:val="24"/>
                <w:szCs w:val="24"/>
              </w:rPr>
            </w:pPr>
            <w:r>
              <w:rPr>
                <w:sz w:val="24"/>
                <w:szCs w:val="24"/>
              </w:rPr>
              <w:t>中</w:t>
            </w:r>
          </w:p>
        </w:tc>
        <w:tc>
          <w:tcPr>
            <w:tcW w:w="1893" w:type="dxa"/>
          </w:tcPr>
          <w:p>
            <w:pPr>
              <w:spacing w:line="288" w:lineRule="auto"/>
              <w:jc w:val="center"/>
              <w:rPr>
                <w:sz w:val="24"/>
                <w:szCs w:val="24"/>
              </w:rPr>
            </w:pPr>
            <w:r>
              <w:rPr>
                <w:sz w:val="24"/>
                <w:szCs w:val="24"/>
              </w:rPr>
              <w:t>便利店连锁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spacing w:line="288" w:lineRule="auto"/>
              <w:jc w:val="center"/>
              <w:rPr>
                <w:sz w:val="24"/>
                <w:szCs w:val="24"/>
              </w:rPr>
            </w:pPr>
            <w:r>
              <w:rPr>
                <w:sz w:val="24"/>
                <w:szCs w:val="24"/>
              </w:rPr>
              <w:t>8</w:t>
            </w:r>
          </w:p>
        </w:tc>
        <w:tc>
          <w:tcPr>
            <w:tcW w:w="3402" w:type="dxa"/>
          </w:tcPr>
          <w:p>
            <w:pPr>
              <w:spacing w:line="288" w:lineRule="auto"/>
              <w:rPr>
                <w:sz w:val="24"/>
                <w:szCs w:val="24"/>
              </w:rPr>
            </w:pPr>
            <w:r>
              <w:rPr>
                <w:sz w:val="24"/>
                <w:szCs w:val="24"/>
              </w:rPr>
              <w:t>特百惠（中国）有限公司</w:t>
            </w:r>
          </w:p>
        </w:tc>
        <w:tc>
          <w:tcPr>
            <w:tcW w:w="1134" w:type="dxa"/>
          </w:tcPr>
          <w:p>
            <w:pPr>
              <w:spacing w:line="288" w:lineRule="auto"/>
              <w:jc w:val="center"/>
              <w:rPr>
                <w:sz w:val="24"/>
                <w:szCs w:val="24"/>
              </w:rPr>
            </w:pPr>
            <w:r>
              <w:rPr>
                <w:sz w:val="24"/>
                <w:szCs w:val="24"/>
              </w:rPr>
              <w:t>零售业</w:t>
            </w:r>
          </w:p>
        </w:tc>
        <w:tc>
          <w:tcPr>
            <w:tcW w:w="1276" w:type="dxa"/>
          </w:tcPr>
          <w:p>
            <w:pPr>
              <w:spacing w:line="288" w:lineRule="auto"/>
              <w:jc w:val="center"/>
              <w:rPr>
                <w:sz w:val="24"/>
                <w:szCs w:val="24"/>
              </w:rPr>
            </w:pPr>
            <w:r>
              <w:rPr>
                <w:sz w:val="24"/>
                <w:szCs w:val="24"/>
              </w:rPr>
              <w:t>中</w:t>
            </w:r>
          </w:p>
        </w:tc>
        <w:tc>
          <w:tcPr>
            <w:tcW w:w="1893" w:type="dxa"/>
          </w:tcPr>
          <w:p>
            <w:pPr>
              <w:spacing w:line="288" w:lineRule="auto"/>
              <w:jc w:val="center"/>
              <w:rPr>
                <w:sz w:val="24"/>
                <w:szCs w:val="24"/>
              </w:rPr>
            </w:pPr>
            <w:r>
              <w:rPr>
                <w:sz w:val="24"/>
                <w:szCs w:val="24"/>
              </w:rPr>
              <w:t>专卖店连锁</w:t>
            </w:r>
          </w:p>
        </w:tc>
      </w:tr>
    </w:tbl>
    <w:p>
      <w:pPr>
        <w:rPr>
          <w:sz w:val="20"/>
        </w:rPr>
      </w:pPr>
    </w:p>
    <w:p>
      <w:pPr>
        <w:snapToGrid w:val="0"/>
        <w:spacing w:line="360" w:lineRule="auto"/>
        <w:jc w:val="center"/>
        <w:rPr>
          <w:rFonts w:eastAsia="宋体"/>
          <w:sz w:val="20"/>
        </w:rPr>
      </w:pPr>
      <w:r>
        <w:drawing>
          <wp:inline distT="0" distB="0" distL="0" distR="0">
            <wp:extent cx="4810760" cy="2640330"/>
            <wp:effectExtent l="0" t="0" r="0" b="7620"/>
            <wp:docPr id="18" name="图片 18" descr="C:\Users\frecha\AppData\Local\Microsoft\Windows\INetCache\Content.Word\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frecha\AppData\Local\Microsoft\Windows\INetCache\Content.Word\chart.png"/>
                    <pic:cNvPicPr>
                      <a:picLocks noChangeAspect="1" noChangeArrowheads="1"/>
                    </pic:cNvPicPr>
                  </pic:nvPicPr>
                  <pic:blipFill>
                    <a:blip r:embed="rId7" cstate="print">
                      <a:extLst>
                        <a:ext uri="{28A0092B-C50C-407E-A947-70E740481C1C}">
                          <a14:useLocalDpi xmlns:a14="http://schemas.microsoft.com/office/drawing/2010/main" val="0"/>
                        </a:ext>
                      </a:extLst>
                    </a:blip>
                    <a:srcRect l="15653" t="-345" r="15777"/>
                    <a:stretch>
                      <a:fillRect/>
                    </a:stretch>
                  </pic:blipFill>
                  <pic:spPr>
                    <a:xfrm>
                      <a:off x="0" y="0"/>
                      <a:ext cx="4830764" cy="2651743"/>
                    </a:xfrm>
                    <a:prstGeom prst="rect">
                      <a:avLst/>
                    </a:prstGeom>
                    <a:noFill/>
                    <a:ln>
                      <a:noFill/>
                    </a:ln>
                  </pic:spPr>
                </pic:pic>
              </a:graphicData>
            </a:graphic>
          </wp:inline>
        </w:drawing>
      </w:r>
    </w:p>
    <w:p>
      <w:pPr>
        <w:snapToGrid w:val="0"/>
        <w:spacing w:line="560" w:lineRule="exact"/>
        <w:jc w:val="center"/>
        <w:rPr>
          <w:b/>
          <w:sz w:val="24"/>
          <w:szCs w:val="24"/>
        </w:rPr>
      </w:pPr>
      <w:r>
        <w:rPr>
          <w:b/>
          <w:sz w:val="24"/>
          <w:szCs w:val="24"/>
        </w:rPr>
        <w:t>图2-1 调研企业规模</w:t>
      </w:r>
    </w:p>
    <w:p>
      <w:pPr>
        <w:spacing w:line="560" w:lineRule="exact"/>
        <w:ind w:firstLine="602" w:firstLineChars="200"/>
        <w:rPr>
          <w:b/>
          <w:sz w:val="30"/>
          <w:szCs w:val="30"/>
        </w:rPr>
      </w:pPr>
      <w:bookmarkStart w:id="8" w:name="_Toc492851716"/>
      <w:r>
        <w:rPr>
          <w:b/>
          <w:sz w:val="30"/>
          <w:szCs w:val="30"/>
        </w:rPr>
        <w:t>2</w:t>
      </w:r>
      <w:r>
        <w:rPr>
          <w:rFonts w:hint="eastAsia"/>
          <w:b/>
          <w:sz w:val="30"/>
          <w:szCs w:val="30"/>
        </w:rPr>
        <w:t>．</w:t>
      </w:r>
      <w:r>
        <w:rPr>
          <w:b/>
          <w:sz w:val="30"/>
          <w:szCs w:val="30"/>
        </w:rPr>
        <w:t>职业院校</w:t>
      </w:r>
      <w:bookmarkEnd w:id="8"/>
    </w:p>
    <w:p>
      <w:pPr>
        <w:spacing w:line="560" w:lineRule="exact"/>
        <w:ind w:firstLine="600" w:firstLineChars="200"/>
        <w:rPr>
          <w:sz w:val="30"/>
          <w:szCs w:val="30"/>
        </w:rPr>
      </w:pPr>
      <w:r>
        <w:rPr>
          <w:sz w:val="30"/>
          <w:szCs w:val="30"/>
        </w:rPr>
        <w:t>调研了全国25所开设连锁经营管理专业的高职院校，地区覆盖13个省、自治区、直辖市，兼顾东、中、西部地区分布，其中国家示范（骨干）院校13所，省级示范（骨干）4所，国家普通高职院校8所。</w:t>
      </w:r>
    </w:p>
    <w:p>
      <w:pPr>
        <w:spacing w:line="560" w:lineRule="exact"/>
        <w:ind w:firstLine="602" w:firstLineChars="200"/>
        <w:rPr>
          <w:sz w:val="30"/>
          <w:szCs w:val="30"/>
        </w:rPr>
      </w:pPr>
      <w:bookmarkStart w:id="9" w:name="_Toc492851717"/>
      <w:r>
        <w:rPr>
          <w:b/>
          <w:sz w:val="30"/>
          <w:szCs w:val="30"/>
        </w:rPr>
        <w:t>3</w:t>
      </w:r>
      <w:r>
        <w:rPr>
          <w:rFonts w:hint="eastAsia"/>
          <w:b/>
          <w:sz w:val="30"/>
          <w:szCs w:val="30"/>
        </w:rPr>
        <w:t>．</w:t>
      </w:r>
      <w:r>
        <w:rPr>
          <w:b/>
          <w:sz w:val="30"/>
          <w:szCs w:val="30"/>
        </w:rPr>
        <w:t>毕业生及从业人员</w:t>
      </w:r>
      <w:bookmarkEnd w:id="9"/>
    </w:p>
    <w:p>
      <w:pPr>
        <w:spacing w:line="560" w:lineRule="exact"/>
        <w:ind w:firstLine="600" w:firstLineChars="200"/>
        <w:rPr>
          <w:sz w:val="30"/>
          <w:szCs w:val="30"/>
        </w:rPr>
      </w:pPr>
      <w:r>
        <w:rPr>
          <w:sz w:val="30"/>
          <w:szCs w:val="30"/>
        </w:rPr>
        <w:t>调研了连锁经营管理专业毕业生及从业人员997名，以及北京、江苏、重庆、山东、广西等8个地区的行业代表人物和政府主管部门人员。</w:t>
      </w:r>
    </w:p>
    <w:p>
      <w:pPr>
        <w:pStyle w:val="2"/>
        <w:spacing w:before="120" w:after="120" w:line="560" w:lineRule="exact"/>
        <w:ind w:firstLine="600" w:firstLineChars="200"/>
        <w:rPr>
          <w:rFonts w:eastAsia="黑体"/>
          <w:b w:val="0"/>
          <w:sz w:val="30"/>
        </w:rPr>
      </w:pPr>
      <w:bookmarkStart w:id="10" w:name="_Toc492851718"/>
      <w:bookmarkStart w:id="11" w:name="_Toc493777257"/>
      <w:bookmarkStart w:id="12" w:name="_Toc494016483"/>
      <w:r>
        <w:rPr>
          <w:rFonts w:eastAsia="黑体"/>
          <w:b w:val="0"/>
          <w:sz w:val="30"/>
        </w:rPr>
        <w:t>三、调研方式与实施情况</w:t>
      </w:r>
      <w:bookmarkEnd w:id="10"/>
      <w:bookmarkEnd w:id="11"/>
      <w:bookmarkEnd w:id="12"/>
    </w:p>
    <w:p>
      <w:pPr>
        <w:pStyle w:val="31"/>
        <w:numPr>
          <w:ilvl w:val="0"/>
          <w:numId w:val="0"/>
        </w:numPr>
        <w:spacing w:line="560" w:lineRule="exact"/>
        <w:ind w:firstLine="602" w:firstLineChars="200"/>
        <w:outlineLvl w:val="1"/>
        <w:rPr>
          <w:rFonts w:eastAsia="仿宋_GB2312"/>
          <w:szCs w:val="30"/>
        </w:rPr>
      </w:pPr>
      <w:bookmarkStart w:id="13" w:name="_Toc492851719"/>
      <w:bookmarkStart w:id="14" w:name="_Toc493777258"/>
      <w:bookmarkStart w:id="15" w:name="_Toc494016484"/>
      <w:r>
        <w:rPr>
          <w:rFonts w:eastAsia="仿宋_GB2312"/>
          <w:szCs w:val="30"/>
        </w:rPr>
        <w:t>（一）调研方式</w:t>
      </w:r>
      <w:bookmarkEnd w:id="13"/>
      <w:bookmarkEnd w:id="14"/>
      <w:bookmarkEnd w:id="15"/>
    </w:p>
    <w:p>
      <w:pPr>
        <w:spacing w:line="560" w:lineRule="exact"/>
        <w:ind w:firstLine="600" w:firstLineChars="200"/>
        <w:rPr>
          <w:sz w:val="30"/>
          <w:szCs w:val="30"/>
        </w:rPr>
      </w:pPr>
      <w:r>
        <w:rPr>
          <w:sz w:val="30"/>
          <w:szCs w:val="30"/>
        </w:rPr>
        <w:t>1．文献搜索调研</w:t>
      </w:r>
    </w:p>
    <w:p>
      <w:pPr>
        <w:spacing w:line="560" w:lineRule="exact"/>
        <w:ind w:firstLine="600" w:firstLineChars="200"/>
        <w:rPr>
          <w:sz w:val="30"/>
          <w:szCs w:val="30"/>
        </w:rPr>
      </w:pPr>
      <w:r>
        <w:rPr>
          <w:sz w:val="30"/>
          <w:szCs w:val="30"/>
        </w:rPr>
        <w:t>2．实地访谈调研</w:t>
      </w:r>
    </w:p>
    <w:p>
      <w:pPr>
        <w:spacing w:line="560" w:lineRule="exact"/>
        <w:ind w:firstLine="600" w:firstLineChars="200"/>
        <w:rPr>
          <w:sz w:val="30"/>
          <w:szCs w:val="30"/>
        </w:rPr>
      </w:pPr>
      <w:r>
        <w:rPr>
          <w:sz w:val="30"/>
          <w:szCs w:val="30"/>
        </w:rPr>
        <w:t>3．问卷调研</w:t>
      </w:r>
    </w:p>
    <w:p>
      <w:pPr>
        <w:spacing w:line="560" w:lineRule="exact"/>
        <w:ind w:firstLine="600" w:firstLineChars="200"/>
        <w:rPr>
          <w:sz w:val="30"/>
          <w:szCs w:val="30"/>
        </w:rPr>
      </w:pPr>
      <w:r>
        <w:rPr>
          <w:sz w:val="30"/>
          <w:szCs w:val="30"/>
        </w:rPr>
        <w:t>4．电话访谈调研</w:t>
      </w:r>
    </w:p>
    <w:p>
      <w:pPr>
        <w:pStyle w:val="31"/>
        <w:numPr>
          <w:ilvl w:val="0"/>
          <w:numId w:val="0"/>
        </w:numPr>
        <w:spacing w:line="560" w:lineRule="exact"/>
        <w:ind w:firstLine="602" w:firstLineChars="200"/>
        <w:outlineLvl w:val="1"/>
        <w:rPr>
          <w:rFonts w:eastAsia="仿宋_GB2312"/>
          <w:szCs w:val="30"/>
        </w:rPr>
      </w:pPr>
      <w:bookmarkStart w:id="16" w:name="_Toc492851720"/>
      <w:bookmarkStart w:id="17" w:name="_Toc493777259"/>
      <w:bookmarkStart w:id="18" w:name="_Toc494016485"/>
      <w:r>
        <w:rPr>
          <w:rFonts w:eastAsia="仿宋_GB2312"/>
          <w:szCs w:val="30"/>
        </w:rPr>
        <w:t>（二）实施计划安排</w:t>
      </w:r>
      <w:bookmarkEnd w:id="16"/>
      <w:bookmarkEnd w:id="17"/>
      <w:bookmarkEnd w:id="18"/>
    </w:p>
    <w:p>
      <w:pPr>
        <w:spacing w:line="560" w:lineRule="exact"/>
        <w:ind w:firstLine="600" w:firstLineChars="200"/>
        <w:rPr>
          <w:sz w:val="30"/>
          <w:szCs w:val="30"/>
        </w:rPr>
      </w:pPr>
      <w:r>
        <w:rPr>
          <w:sz w:val="30"/>
          <w:szCs w:val="30"/>
        </w:rPr>
        <w:t>按照教育部关于此项工作要求，</w:t>
      </w:r>
      <w:r>
        <w:rPr>
          <w:rFonts w:hint="eastAsia"/>
          <w:sz w:val="30"/>
          <w:szCs w:val="30"/>
          <w:lang w:eastAsia="zh-CN"/>
        </w:rPr>
        <w:t>安徽工商职业学院</w:t>
      </w:r>
      <w:r>
        <w:rPr>
          <w:sz w:val="30"/>
          <w:szCs w:val="30"/>
        </w:rPr>
        <w:t>作为牵头院校，联合广西职业技术学院、山东经贸职业学院、重庆城市管理职业学院、浙江商业职业技术学院、北京财贸职业学院、山西省财政税务专科学校、安徽商贸职业技术学院等8家高职院校，以及苏宁云商集团、永辉超市、家家悦集团、天虹百货、7-Eleven、如家集团、麦当劳、星巴克等8家业态龙头企业成立项目组，进行调研的准备及实施。调研自201</w:t>
      </w:r>
      <w:r>
        <w:rPr>
          <w:rFonts w:hint="eastAsia"/>
          <w:sz w:val="30"/>
          <w:szCs w:val="30"/>
          <w:lang w:val="en-US" w:eastAsia="zh-CN"/>
        </w:rPr>
        <w:t>8</w:t>
      </w:r>
      <w:r>
        <w:rPr>
          <w:sz w:val="30"/>
          <w:szCs w:val="30"/>
        </w:rPr>
        <w:t>年5月1日正式开始至7月10日，调研工作进行如下部署：</w:t>
      </w:r>
    </w:p>
    <w:p>
      <w:pPr>
        <w:spacing w:line="560" w:lineRule="exact"/>
        <w:ind w:firstLine="600" w:firstLineChars="200"/>
        <w:rPr>
          <w:sz w:val="30"/>
          <w:szCs w:val="30"/>
        </w:rPr>
      </w:pPr>
      <w:r>
        <w:rPr>
          <w:sz w:val="30"/>
          <w:szCs w:val="30"/>
        </w:rPr>
        <w:t>1．牵头院校制定详细的调研方案，拟定调研提纲，设计各类调研问卷、调研表、调研统计表、区域调研计划表、调研工作任务单。</w:t>
      </w:r>
    </w:p>
    <w:p>
      <w:pPr>
        <w:spacing w:line="560" w:lineRule="exact"/>
        <w:ind w:firstLine="600" w:firstLineChars="200"/>
        <w:rPr>
          <w:sz w:val="30"/>
          <w:szCs w:val="30"/>
        </w:rPr>
      </w:pPr>
      <w:r>
        <w:rPr>
          <w:sz w:val="30"/>
          <w:szCs w:val="30"/>
        </w:rPr>
        <w:t>2．根据项目团队参与院校的区域分布及产业布局特点划分调研小组，并进行小组调研区域分配及任务分工。</w:t>
      </w:r>
    </w:p>
    <w:p>
      <w:pPr>
        <w:spacing w:line="560" w:lineRule="exact"/>
        <w:ind w:firstLine="600" w:firstLineChars="200"/>
        <w:rPr>
          <w:sz w:val="30"/>
          <w:szCs w:val="30"/>
        </w:rPr>
      </w:pPr>
      <w:r>
        <w:rPr>
          <w:sz w:val="30"/>
          <w:szCs w:val="30"/>
        </w:rPr>
        <w:t>3．各负责院校根据任务分工及调研要求制定出本区域具体调研计划，并实施调研。</w:t>
      </w:r>
    </w:p>
    <w:p>
      <w:pPr>
        <w:spacing w:line="560" w:lineRule="exact"/>
        <w:ind w:firstLine="600" w:firstLineChars="200"/>
        <w:rPr>
          <w:sz w:val="30"/>
          <w:szCs w:val="30"/>
        </w:rPr>
      </w:pPr>
      <w:r>
        <w:rPr>
          <w:sz w:val="30"/>
          <w:szCs w:val="30"/>
        </w:rPr>
        <w:t>4．各负责院校按期提交调研资料。</w:t>
      </w:r>
    </w:p>
    <w:p>
      <w:pPr>
        <w:spacing w:line="560" w:lineRule="exact"/>
        <w:ind w:firstLine="600" w:firstLineChars="200"/>
        <w:rPr>
          <w:sz w:val="30"/>
          <w:szCs w:val="30"/>
        </w:rPr>
      </w:pPr>
      <w:r>
        <w:rPr>
          <w:sz w:val="30"/>
          <w:szCs w:val="30"/>
        </w:rPr>
        <w:t>5．牵头院校汇总调研资料并形成调研报告。</w:t>
      </w:r>
    </w:p>
    <w:p>
      <w:pPr>
        <w:pStyle w:val="31"/>
        <w:numPr>
          <w:ilvl w:val="0"/>
          <w:numId w:val="0"/>
        </w:numPr>
        <w:ind w:firstLine="602" w:firstLineChars="200"/>
        <w:outlineLvl w:val="1"/>
        <w:rPr>
          <w:rFonts w:eastAsia="仿宋_GB2312"/>
          <w:szCs w:val="30"/>
        </w:rPr>
      </w:pPr>
      <w:bookmarkStart w:id="19" w:name="_Toc494016486"/>
      <w:bookmarkStart w:id="20" w:name="_Toc493777260"/>
      <w:bookmarkStart w:id="21" w:name="_Toc492851721"/>
      <w:r>
        <w:rPr>
          <w:rFonts w:eastAsia="仿宋_GB2312"/>
          <w:szCs w:val="30"/>
        </w:rPr>
        <w:t>（三）问卷回收情况</w:t>
      </w:r>
      <w:bookmarkEnd w:id="19"/>
      <w:bookmarkEnd w:id="20"/>
      <w:bookmarkEnd w:id="21"/>
    </w:p>
    <w:p>
      <w:pPr>
        <w:spacing w:line="560" w:lineRule="exact"/>
        <w:ind w:firstLine="600" w:firstLineChars="200"/>
        <w:rPr>
          <w:sz w:val="30"/>
          <w:szCs w:val="30"/>
        </w:rPr>
      </w:pPr>
      <w:r>
        <w:rPr>
          <w:sz w:val="30"/>
          <w:szCs w:val="30"/>
        </w:rPr>
        <w:t>本次调研针对不同的调研对象，共设计了5种调研问卷，实际收回问卷数量如下表，问卷有效率达到96%，实际发放及收回问卷数量如下表：</w:t>
      </w:r>
    </w:p>
    <w:p>
      <w:pPr>
        <w:spacing w:line="560" w:lineRule="exact"/>
        <w:jc w:val="center"/>
        <w:rPr>
          <w:b/>
          <w:sz w:val="24"/>
          <w:szCs w:val="24"/>
        </w:rPr>
      </w:pPr>
      <w:r>
        <w:rPr>
          <w:b/>
          <w:sz w:val="24"/>
          <w:szCs w:val="24"/>
        </w:rPr>
        <w:t>表3-1 调研问卷回收情况表</w:t>
      </w:r>
    </w:p>
    <w:tbl>
      <w:tblPr>
        <w:tblStyle w:val="23"/>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5"/>
        <w:gridCol w:w="1418"/>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5665" w:type="dxa"/>
            <w:vAlign w:val="center"/>
          </w:tcPr>
          <w:p>
            <w:pPr>
              <w:jc w:val="center"/>
              <w:rPr>
                <w:b/>
                <w:sz w:val="24"/>
                <w:szCs w:val="24"/>
              </w:rPr>
            </w:pPr>
            <w:r>
              <w:rPr>
                <w:b/>
                <w:sz w:val="24"/>
                <w:szCs w:val="24"/>
              </w:rPr>
              <w:t>问卷名称类型</w:t>
            </w:r>
          </w:p>
        </w:tc>
        <w:tc>
          <w:tcPr>
            <w:tcW w:w="1418" w:type="dxa"/>
            <w:vAlign w:val="center"/>
          </w:tcPr>
          <w:p>
            <w:pPr>
              <w:jc w:val="center"/>
              <w:rPr>
                <w:b/>
                <w:sz w:val="24"/>
                <w:szCs w:val="24"/>
              </w:rPr>
            </w:pPr>
            <w:r>
              <w:rPr>
                <w:b/>
                <w:sz w:val="24"/>
                <w:szCs w:val="24"/>
              </w:rPr>
              <w:t>实际回收</w:t>
            </w:r>
          </w:p>
        </w:tc>
        <w:tc>
          <w:tcPr>
            <w:tcW w:w="1389" w:type="dxa"/>
            <w:vAlign w:val="center"/>
          </w:tcPr>
          <w:p>
            <w:pPr>
              <w:jc w:val="center"/>
              <w:rPr>
                <w:b/>
                <w:sz w:val="24"/>
                <w:szCs w:val="24"/>
              </w:rPr>
            </w:pPr>
            <w:r>
              <w:rPr>
                <w:b/>
                <w:sz w:val="24"/>
                <w:szCs w:val="24"/>
              </w:rPr>
              <w:t>有效问卷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65" w:type="dxa"/>
            <w:vAlign w:val="center"/>
          </w:tcPr>
          <w:p>
            <w:pPr>
              <w:jc w:val="left"/>
              <w:rPr>
                <w:sz w:val="24"/>
                <w:szCs w:val="24"/>
              </w:rPr>
            </w:pPr>
            <w:r>
              <w:rPr>
                <w:sz w:val="24"/>
                <w:szCs w:val="24"/>
              </w:rPr>
              <w:t>高等职业学校连锁经营管理专业教学标准修（制）订网络调研问卷（企业）</w:t>
            </w:r>
          </w:p>
        </w:tc>
        <w:tc>
          <w:tcPr>
            <w:tcW w:w="1418" w:type="dxa"/>
            <w:vAlign w:val="center"/>
          </w:tcPr>
          <w:p>
            <w:pPr>
              <w:jc w:val="center"/>
              <w:rPr>
                <w:sz w:val="24"/>
                <w:szCs w:val="24"/>
              </w:rPr>
            </w:pPr>
            <w:r>
              <w:rPr>
                <w:sz w:val="24"/>
                <w:szCs w:val="24"/>
              </w:rPr>
              <w:t>75</w:t>
            </w:r>
          </w:p>
        </w:tc>
        <w:tc>
          <w:tcPr>
            <w:tcW w:w="1389" w:type="dxa"/>
            <w:vAlign w:val="center"/>
          </w:tcPr>
          <w:p>
            <w:pPr>
              <w:jc w:val="center"/>
              <w:rPr>
                <w:sz w:val="24"/>
                <w:szCs w:val="24"/>
              </w:rPr>
            </w:pPr>
            <w:r>
              <w:rPr>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65" w:type="dxa"/>
            <w:vAlign w:val="center"/>
          </w:tcPr>
          <w:p>
            <w:pPr>
              <w:jc w:val="left"/>
              <w:rPr>
                <w:sz w:val="24"/>
                <w:szCs w:val="24"/>
              </w:rPr>
            </w:pPr>
            <w:r>
              <w:rPr>
                <w:sz w:val="24"/>
                <w:szCs w:val="24"/>
              </w:rPr>
              <w:t>高等职业学校连锁经营管理专业教学标准修（制）订会议调研问卷（企业）</w:t>
            </w:r>
          </w:p>
        </w:tc>
        <w:tc>
          <w:tcPr>
            <w:tcW w:w="1418" w:type="dxa"/>
            <w:vAlign w:val="center"/>
          </w:tcPr>
          <w:p>
            <w:pPr>
              <w:jc w:val="center"/>
              <w:rPr>
                <w:sz w:val="24"/>
                <w:szCs w:val="24"/>
              </w:rPr>
            </w:pPr>
            <w:r>
              <w:rPr>
                <w:sz w:val="24"/>
                <w:szCs w:val="24"/>
              </w:rPr>
              <w:t>10</w:t>
            </w:r>
          </w:p>
        </w:tc>
        <w:tc>
          <w:tcPr>
            <w:tcW w:w="1389" w:type="dxa"/>
            <w:vAlign w:val="center"/>
          </w:tcPr>
          <w:p>
            <w:pPr>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65" w:type="dxa"/>
            <w:vAlign w:val="center"/>
          </w:tcPr>
          <w:p>
            <w:pPr>
              <w:jc w:val="left"/>
              <w:rPr>
                <w:sz w:val="24"/>
                <w:szCs w:val="24"/>
              </w:rPr>
            </w:pPr>
            <w:r>
              <w:rPr>
                <w:sz w:val="24"/>
                <w:szCs w:val="24"/>
              </w:rPr>
              <w:t>高等职业学校连锁经营管理专业教学标准修（制）订调实地研问卷（企业）</w:t>
            </w:r>
          </w:p>
        </w:tc>
        <w:tc>
          <w:tcPr>
            <w:tcW w:w="1418" w:type="dxa"/>
            <w:vAlign w:val="center"/>
          </w:tcPr>
          <w:p>
            <w:pPr>
              <w:jc w:val="center"/>
              <w:rPr>
                <w:sz w:val="24"/>
                <w:szCs w:val="24"/>
              </w:rPr>
            </w:pPr>
            <w:r>
              <w:rPr>
                <w:sz w:val="24"/>
                <w:szCs w:val="24"/>
              </w:rPr>
              <w:t>24</w:t>
            </w:r>
          </w:p>
        </w:tc>
        <w:tc>
          <w:tcPr>
            <w:tcW w:w="1389" w:type="dxa"/>
            <w:vAlign w:val="center"/>
          </w:tcPr>
          <w:p>
            <w:pPr>
              <w:jc w:val="center"/>
              <w:rPr>
                <w:sz w:val="24"/>
                <w:szCs w:val="24"/>
              </w:rPr>
            </w:pPr>
            <w:r>
              <w:rPr>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65" w:type="dxa"/>
            <w:vAlign w:val="center"/>
          </w:tcPr>
          <w:p>
            <w:pPr>
              <w:jc w:val="left"/>
              <w:rPr>
                <w:sz w:val="24"/>
                <w:szCs w:val="24"/>
              </w:rPr>
            </w:pPr>
            <w:r>
              <w:rPr>
                <w:sz w:val="24"/>
                <w:szCs w:val="24"/>
              </w:rPr>
              <w:t>高等职业学校连锁经营管理专业教学标准修（制）订调研问卷（学校）</w:t>
            </w:r>
          </w:p>
        </w:tc>
        <w:tc>
          <w:tcPr>
            <w:tcW w:w="1418" w:type="dxa"/>
            <w:vAlign w:val="center"/>
          </w:tcPr>
          <w:p>
            <w:pPr>
              <w:jc w:val="center"/>
              <w:rPr>
                <w:sz w:val="24"/>
                <w:szCs w:val="24"/>
              </w:rPr>
            </w:pPr>
            <w:r>
              <w:rPr>
                <w:sz w:val="24"/>
                <w:szCs w:val="24"/>
              </w:rPr>
              <w:t>27</w:t>
            </w:r>
          </w:p>
        </w:tc>
        <w:tc>
          <w:tcPr>
            <w:tcW w:w="1389" w:type="dxa"/>
            <w:vAlign w:val="center"/>
          </w:tcPr>
          <w:p>
            <w:pPr>
              <w:jc w:val="center"/>
              <w:rPr>
                <w:sz w:val="24"/>
                <w:szCs w:val="24"/>
              </w:rPr>
            </w:pPr>
            <w:r>
              <w:rPr>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65" w:type="dxa"/>
            <w:vAlign w:val="center"/>
          </w:tcPr>
          <w:p>
            <w:pPr>
              <w:jc w:val="left"/>
              <w:rPr>
                <w:sz w:val="24"/>
                <w:szCs w:val="24"/>
              </w:rPr>
            </w:pPr>
            <w:r>
              <w:rPr>
                <w:sz w:val="24"/>
                <w:szCs w:val="24"/>
              </w:rPr>
              <w:t>高等职业学校连锁经营管理专业教学标准修（制）订调研问卷（毕业生）</w:t>
            </w:r>
          </w:p>
        </w:tc>
        <w:tc>
          <w:tcPr>
            <w:tcW w:w="1418" w:type="dxa"/>
            <w:vAlign w:val="center"/>
          </w:tcPr>
          <w:p>
            <w:pPr>
              <w:jc w:val="center"/>
              <w:rPr>
                <w:sz w:val="24"/>
                <w:szCs w:val="24"/>
              </w:rPr>
            </w:pPr>
            <w:r>
              <w:rPr>
                <w:sz w:val="24"/>
                <w:szCs w:val="24"/>
              </w:rPr>
              <w:t>1025</w:t>
            </w:r>
          </w:p>
        </w:tc>
        <w:tc>
          <w:tcPr>
            <w:tcW w:w="1389" w:type="dxa"/>
            <w:vAlign w:val="center"/>
          </w:tcPr>
          <w:p>
            <w:pPr>
              <w:jc w:val="center"/>
              <w:rPr>
                <w:sz w:val="24"/>
                <w:szCs w:val="24"/>
              </w:rPr>
            </w:pPr>
            <w:r>
              <w:rPr>
                <w:sz w:val="24"/>
                <w:szCs w:val="24"/>
              </w:rPr>
              <w:t>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5665" w:type="dxa"/>
            <w:vAlign w:val="center"/>
          </w:tcPr>
          <w:p>
            <w:pPr>
              <w:jc w:val="center"/>
              <w:rPr>
                <w:b/>
                <w:sz w:val="24"/>
                <w:szCs w:val="24"/>
              </w:rPr>
            </w:pPr>
            <w:r>
              <w:rPr>
                <w:b/>
                <w:sz w:val="24"/>
                <w:szCs w:val="24"/>
              </w:rPr>
              <w:t>合计</w:t>
            </w:r>
          </w:p>
        </w:tc>
        <w:tc>
          <w:tcPr>
            <w:tcW w:w="1418" w:type="dxa"/>
            <w:vAlign w:val="center"/>
          </w:tcPr>
          <w:p>
            <w:pPr>
              <w:jc w:val="center"/>
              <w:rPr>
                <w:b/>
                <w:sz w:val="24"/>
                <w:szCs w:val="24"/>
              </w:rPr>
            </w:pPr>
            <w:r>
              <w:rPr>
                <w:b/>
                <w:sz w:val="24"/>
                <w:szCs w:val="24"/>
              </w:rPr>
              <w:t>1161</w:t>
            </w:r>
          </w:p>
        </w:tc>
        <w:tc>
          <w:tcPr>
            <w:tcW w:w="1389" w:type="dxa"/>
            <w:vAlign w:val="center"/>
          </w:tcPr>
          <w:p>
            <w:pPr>
              <w:jc w:val="center"/>
              <w:rPr>
                <w:b/>
                <w:sz w:val="24"/>
                <w:szCs w:val="24"/>
              </w:rPr>
            </w:pPr>
            <w:r>
              <w:rPr>
                <w:b/>
                <w:sz w:val="24"/>
                <w:szCs w:val="24"/>
              </w:rPr>
              <w:fldChar w:fldCharType="begin"/>
            </w:r>
            <w:r>
              <w:rPr>
                <w:b/>
                <w:sz w:val="24"/>
                <w:szCs w:val="24"/>
              </w:rPr>
              <w:instrText xml:space="preserve">=SUM(ABOVE)</w:instrText>
            </w:r>
            <w:r>
              <w:rPr>
                <w:b/>
                <w:sz w:val="24"/>
                <w:szCs w:val="24"/>
              </w:rPr>
              <w:fldChar w:fldCharType="separate"/>
            </w:r>
            <w:r>
              <w:rPr>
                <w:b/>
                <w:sz w:val="24"/>
                <w:szCs w:val="24"/>
              </w:rPr>
              <w:t>1128</w:t>
            </w:r>
            <w:r>
              <w:rPr>
                <w:b/>
                <w:sz w:val="24"/>
                <w:szCs w:val="24"/>
              </w:rPr>
              <w:fldChar w:fldCharType="end"/>
            </w:r>
          </w:p>
        </w:tc>
      </w:tr>
    </w:tbl>
    <w:p>
      <w:pPr>
        <w:spacing w:line="560" w:lineRule="exact"/>
        <w:jc w:val="center"/>
        <w:rPr>
          <w:b/>
          <w:sz w:val="24"/>
          <w:szCs w:val="30"/>
        </w:rPr>
      </w:pPr>
      <w:r>
        <w:rPr>
          <w:b/>
          <w:sz w:val="24"/>
          <w:szCs w:val="30"/>
        </w:rPr>
        <w:t>注：会议调研、实地调研对象为网络调研对象中抽取的典型企业。</w:t>
      </w:r>
    </w:p>
    <w:p>
      <w:pPr>
        <w:spacing w:line="560" w:lineRule="exact"/>
        <w:ind w:firstLine="450" w:firstLineChars="150"/>
        <w:rPr>
          <w:sz w:val="30"/>
          <w:szCs w:val="30"/>
        </w:rPr>
      </w:pPr>
      <w:r>
        <w:rPr>
          <w:sz w:val="30"/>
          <w:szCs w:val="30"/>
        </w:rPr>
        <w:t>其中企业问卷来源涉及17个省、自治区、直辖市，批发和零售业、住宿和餐饮业、住宿与餐饮业、居民服务业等3大行业。</w:t>
      </w:r>
    </w:p>
    <w:p>
      <w:pPr>
        <w:snapToGrid w:val="0"/>
        <w:spacing w:line="560" w:lineRule="exact"/>
        <w:jc w:val="center"/>
        <w:rPr>
          <w:b/>
          <w:sz w:val="24"/>
          <w:szCs w:val="24"/>
        </w:rPr>
      </w:pPr>
    </w:p>
    <w:p>
      <w:pPr>
        <w:snapToGrid w:val="0"/>
        <w:spacing w:line="560" w:lineRule="exact"/>
        <w:jc w:val="center"/>
        <w:rPr>
          <w:b/>
          <w:sz w:val="24"/>
          <w:szCs w:val="24"/>
        </w:rPr>
      </w:pPr>
    </w:p>
    <w:p>
      <w:pPr>
        <w:snapToGrid w:val="0"/>
        <w:spacing w:line="560" w:lineRule="exact"/>
        <w:jc w:val="center"/>
        <w:rPr>
          <w:b/>
          <w:sz w:val="24"/>
          <w:szCs w:val="24"/>
        </w:rPr>
      </w:pPr>
    </w:p>
    <w:p>
      <w:pPr>
        <w:snapToGrid w:val="0"/>
        <w:spacing w:line="560" w:lineRule="exact"/>
        <w:jc w:val="center"/>
        <w:rPr>
          <w:b/>
          <w:sz w:val="24"/>
          <w:szCs w:val="24"/>
        </w:rPr>
      </w:pPr>
      <w:r>
        <w:rPr>
          <w:b/>
          <w:sz w:val="24"/>
          <w:szCs w:val="24"/>
        </w:rPr>
        <w:t>表3-2 问卷调研企业业态分布</w:t>
      </w:r>
    </w:p>
    <w:tbl>
      <w:tblPr>
        <w:tblStyle w:val="22"/>
        <w:tblW w:w="7762" w:type="dxa"/>
        <w:jc w:val="center"/>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2944"/>
        <w:gridCol w:w="1133"/>
        <w:gridCol w:w="3685"/>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rFonts w:eastAsia="宋体"/>
                <w:sz w:val="24"/>
                <w:szCs w:val="24"/>
              </w:rPr>
            </w:pPr>
            <w:r>
              <w:rPr>
                <w:sz w:val="24"/>
                <w:szCs w:val="24"/>
              </w:rPr>
              <w:t>选项</w:t>
            </w:r>
          </w:p>
        </w:tc>
        <w:tc>
          <w:tcPr>
            <w:tcW w:w="1133"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小计</w:t>
            </w:r>
          </w:p>
        </w:tc>
        <w:tc>
          <w:tcPr>
            <w:tcW w:w="3685"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百货店</w:t>
            </w:r>
          </w:p>
        </w:tc>
        <w:tc>
          <w:tcPr>
            <w:tcW w:w="1133"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15</w:t>
            </w:r>
          </w:p>
        </w:tc>
        <w:tc>
          <w:tcPr>
            <w:tcW w:w="3685"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285750" cy="114300"/>
                  <wp:effectExtent l="0" t="0" r="0" b="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 cy="114300"/>
                          </a:xfrm>
                          <a:prstGeom prst="rect">
                            <a:avLst/>
                          </a:prstGeom>
                          <a:noFill/>
                          <a:ln>
                            <a:noFill/>
                          </a:ln>
                        </pic:spPr>
                      </pic:pic>
                    </a:graphicData>
                  </a:graphic>
                </wp:inline>
              </w:drawing>
            </w:r>
            <w:r>
              <w:rPr>
                <w:sz w:val="24"/>
                <w:szCs w:val="24"/>
              </w:rPr>
              <w:drawing>
                <wp:inline distT="0" distB="0" distL="0" distR="0">
                  <wp:extent cx="1066800" cy="114300"/>
                  <wp:effectExtent l="0" t="0" r="0" b="0"/>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66800" cy="114300"/>
                          </a:xfrm>
                          <a:prstGeom prst="rect">
                            <a:avLst/>
                          </a:prstGeom>
                          <a:noFill/>
                          <a:ln>
                            <a:noFill/>
                          </a:ln>
                        </pic:spPr>
                      </pic:pic>
                    </a:graphicData>
                  </a:graphic>
                </wp:inline>
              </w:drawing>
            </w:r>
            <w:r>
              <w:rPr>
                <w:sz w:val="24"/>
                <w:szCs w:val="24"/>
              </w:rPr>
              <w:t>20.83%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标准超市</w:t>
            </w:r>
          </w:p>
        </w:tc>
        <w:tc>
          <w:tcPr>
            <w:tcW w:w="1133"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16</w:t>
            </w:r>
          </w:p>
        </w:tc>
        <w:tc>
          <w:tcPr>
            <w:tcW w:w="3685"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304800" cy="11430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4800" cy="114300"/>
                          </a:xfrm>
                          <a:prstGeom prst="rect">
                            <a:avLst/>
                          </a:prstGeom>
                          <a:noFill/>
                          <a:ln>
                            <a:noFill/>
                          </a:ln>
                        </pic:spPr>
                      </pic:pic>
                    </a:graphicData>
                  </a:graphic>
                </wp:inline>
              </w:drawing>
            </w:r>
            <w:r>
              <w:rPr>
                <w:sz w:val="24"/>
                <w:szCs w:val="24"/>
              </w:rPr>
              <w:drawing>
                <wp:inline distT="0" distB="0" distL="0" distR="0">
                  <wp:extent cx="1047750" cy="114300"/>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47750" cy="114300"/>
                          </a:xfrm>
                          <a:prstGeom prst="rect">
                            <a:avLst/>
                          </a:prstGeom>
                          <a:noFill/>
                          <a:ln>
                            <a:noFill/>
                          </a:ln>
                        </pic:spPr>
                      </pic:pic>
                    </a:graphicData>
                  </a:graphic>
                </wp:inline>
              </w:drawing>
            </w:r>
            <w:r>
              <w:rPr>
                <w:sz w:val="24"/>
                <w:szCs w:val="24"/>
              </w:rPr>
              <w:t>22.22%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便利店</w:t>
            </w:r>
          </w:p>
        </w:tc>
        <w:tc>
          <w:tcPr>
            <w:tcW w:w="1133"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14</w:t>
            </w:r>
          </w:p>
        </w:tc>
        <w:tc>
          <w:tcPr>
            <w:tcW w:w="3685"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266700" cy="114300"/>
                  <wp:effectExtent l="0" t="0" r="0" b="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114300"/>
                          </a:xfrm>
                          <a:prstGeom prst="rect">
                            <a:avLst/>
                          </a:prstGeom>
                          <a:noFill/>
                          <a:ln>
                            <a:noFill/>
                          </a:ln>
                        </pic:spPr>
                      </pic:pic>
                    </a:graphicData>
                  </a:graphic>
                </wp:inline>
              </w:drawing>
            </w:r>
            <w:r>
              <w:rPr>
                <w:sz w:val="24"/>
                <w:szCs w:val="24"/>
              </w:rPr>
              <w:drawing>
                <wp:inline distT="0" distB="0" distL="0" distR="0">
                  <wp:extent cx="1085850" cy="114300"/>
                  <wp:effectExtent l="0" t="0" r="0" b="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85850" cy="114300"/>
                          </a:xfrm>
                          <a:prstGeom prst="rect">
                            <a:avLst/>
                          </a:prstGeom>
                          <a:noFill/>
                          <a:ln>
                            <a:noFill/>
                          </a:ln>
                        </pic:spPr>
                      </pic:pic>
                    </a:graphicData>
                  </a:graphic>
                </wp:inline>
              </w:drawing>
            </w:r>
            <w:r>
              <w:rPr>
                <w:sz w:val="24"/>
                <w:szCs w:val="24"/>
              </w:rPr>
              <w:t>19.44%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购物中心</w:t>
            </w:r>
          </w:p>
        </w:tc>
        <w:tc>
          <w:tcPr>
            <w:tcW w:w="1133"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17</w:t>
            </w:r>
          </w:p>
        </w:tc>
        <w:tc>
          <w:tcPr>
            <w:tcW w:w="3685"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314325" cy="114300"/>
                  <wp:effectExtent l="0" t="0" r="9525" b="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4325" cy="114300"/>
                          </a:xfrm>
                          <a:prstGeom prst="rect">
                            <a:avLst/>
                          </a:prstGeom>
                          <a:noFill/>
                          <a:ln>
                            <a:noFill/>
                          </a:ln>
                        </pic:spPr>
                      </pic:pic>
                    </a:graphicData>
                  </a:graphic>
                </wp:inline>
              </w:drawing>
            </w:r>
            <w:r>
              <w:rPr>
                <w:sz w:val="24"/>
                <w:szCs w:val="24"/>
              </w:rPr>
              <w:drawing>
                <wp:inline distT="0" distB="0" distL="0" distR="0">
                  <wp:extent cx="1038225" cy="114300"/>
                  <wp:effectExtent l="0" t="0" r="9525" b="0"/>
                  <wp:docPr id="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8225" cy="114300"/>
                          </a:xfrm>
                          <a:prstGeom prst="rect">
                            <a:avLst/>
                          </a:prstGeom>
                          <a:noFill/>
                          <a:ln>
                            <a:noFill/>
                          </a:ln>
                        </pic:spPr>
                      </pic:pic>
                    </a:graphicData>
                  </a:graphic>
                </wp:inline>
              </w:drawing>
            </w:r>
            <w:r>
              <w:rPr>
                <w:sz w:val="24"/>
                <w:szCs w:val="24"/>
              </w:rPr>
              <w:t>23.61%</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专卖店</w:t>
            </w:r>
          </w:p>
        </w:tc>
        <w:tc>
          <w:tcPr>
            <w:tcW w:w="1133"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18</w:t>
            </w:r>
          </w:p>
        </w:tc>
        <w:tc>
          <w:tcPr>
            <w:tcW w:w="3685"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333375" cy="114300"/>
                  <wp:effectExtent l="0" t="0" r="9525" b="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3375" cy="114300"/>
                          </a:xfrm>
                          <a:prstGeom prst="rect">
                            <a:avLst/>
                          </a:prstGeom>
                          <a:noFill/>
                          <a:ln>
                            <a:noFill/>
                          </a:ln>
                        </pic:spPr>
                      </pic:pic>
                    </a:graphicData>
                  </a:graphic>
                </wp:inline>
              </w:drawing>
            </w:r>
            <w:r>
              <w:rPr>
                <w:sz w:val="24"/>
                <w:szCs w:val="24"/>
              </w:rPr>
              <w:drawing>
                <wp:inline distT="0" distB="0" distL="0" distR="0">
                  <wp:extent cx="1019175" cy="114300"/>
                  <wp:effectExtent l="0" t="0" r="9525" b="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19175" cy="114300"/>
                          </a:xfrm>
                          <a:prstGeom prst="rect">
                            <a:avLst/>
                          </a:prstGeom>
                          <a:noFill/>
                          <a:ln>
                            <a:noFill/>
                          </a:ln>
                        </pic:spPr>
                      </pic:pic>
                    </a:graphicData>
                  </a:graphic>
                </wp:inline>
              </w:drawing>
            </w:r>
            <w:r>
              <w:rPr>
                <w:sz w:val="24"/>
                <w:szCs w:val="24"/>
              </w:rPr>
              <w:t>25%</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专业店</w:t>
            </w:r>
          </w:p>
        </w:tc>
        <w:tc>
          <w:tcPr>
            <w:tcW w:w="1133"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15</w:t>
            </w:r>
          </w:p>
        </w:tc>
        <w:tc>
          <w:tcPr>
            <w:tcW w:w="3685"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285750" cy="1143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 cy="114300"/>
                          </a:xfrm>
                          <a:prstGeom prst="rect">
                            <a:avLst/>
                          </a:prstGeom>
                          <a:noFill/>
                          <a:ln>
                            <a:noFill/>
                          </a:ln>
                        </pic:spPr>
                      </pic:pic>
                    </a:graphicData>
                  </a:graphic>
                </wp:inline>
              </w:drawing>
            </w:r>
            <w:r>
              <w:rPr>
                <w:sz w:val="24"/>
                <w:szCs w:val="24"/>
              </w:rPr>
              <w:drawing>
                <wp:inline distT="0" distB="0" distL="0" distR="0">
                  <wp:extent cx="1066800" cy="114300"/>
                  <wp:effectExtent l="0" t="0" r="0" b="0"/>
                  <wp:docPr id="4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66800" cy="114300"/>
                          </a:xfrm>
                          <a:prstGeom prst="rect">
                            <a:avLst/>
                          </a:prstGeom>
                          <a:noFill/>
                          <a:ln>
                            <a:noFill/>
                          </a:ln>
                        </pic:spPr>
                      </pic:pic>
                    </a:graphicData>
                  </a:graphic>
                </wp:inline>
              </w:drawing>
            </w:r>
            <w:r>
              <w:rPr>
                <w:sz w:val="24"/>
                <w:szCs w:val="24"/>
              </w:rPr>
              <w:t>20.83%</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大卖场</w:t>
            </w:r>
          </w:p>
        </w:tc>
        <w:tc>
          <w:tcPr>
            <w:tcW w:w="1133"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20</w:t>
            </w:r>
          </w:p>
        </w:tc>
        <w:tc>
          <w:tcPr>
            <w:tcW w:w="3685"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352425" cy="114300"/>
                  <wp:effectExtent l="0" t="0" r="9525" b="0"/>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52425" cy="114300"/>
                          </a:xfrm>
                          <a:prstGeom prst="rect">
                            <a:avLst/>
                          </a:prstGeom>
                          <a:noFill/>
                          <a:ln>
                            <a:noFill/>
                          </a:ln>
                        </pic:spPr>
                      </pic:pic>
                    </a:graphicData>
                  </a:graphic>
                </wp:inline>
              </w:drawing>
            </w:r>
            <w:r>
              <w:rPr>
                <w:sz w:val="24"/>
                <w:szCs w:val="24"/>
              </w:rPr>
              <w:drawing>
                <wp:inline distT="0" distB="0" distL="0" distR="0">
                  <wp:extent cx="1000125" cy="114300"/>
                  <wp:effectExtent l="0" t="0" r="9525" b="0"/>
                  <wp:docPr id="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00125" cy="114300"/>
                          </a:xfrm>
                          <a:prstGeom prst="rect">
                            <a:avLst/>
                          </a:prstGeom>
                          <a:noFill/>
                          <a:ln>
                            <a:noFill/>
                          </a:ln>
                        </pic:spPr>
                      </pic:pic>
                    </a:graphicData>
                  </a:graphic>
                </wp:inline>
              </w:drawing>
            </w:r>
            <w:r>
              <w:rPr>
                <w:sz w:val="24"/>
                <w:szCs w:val="24"/>
              </w:rPr>
              <w:t>27.78%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餐饮及酒店等</w:t>
            </w:r>
          </w:p>
        </w:tc>
        <w:tc>
          <w:tcPr>
            <w:tcW w:w="1133"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30</w:t>
            </w:r>
          </w:p>
        </w:tc>
        <w:tc>
          <w:tcPr>
            <w:tcW w:w="3685"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561975" cy="114300"/>
                  <wp:effectExtent l="0" t="0" r="9525" b="0"/>
                  <wp:docPr id="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61975" cy="114300"/>
                          </a:xfrm>
                          <a:prstGeom prst="rect">
                            <a:avLst/>
                          </a:prstGeom>
                          <a:noFill/>
                          <a:ln>
                            <a:noFill/>
                          </a:ln>
                        </pic:spPr>
                      </pic:pic>
                    </a:graphicData>
                  </a:graphic>
                </wp:inline>
              </w:drawing>
            </w:r>
            <w:r>
              <w:rPr>
                <w:sz w:val="24"/>
                <w:szCs w:val="24"/>
              </w:rPr>
              <w:drawing>
                <wp:inline distT="0" distB="0" distL="0" distR="0">
                  <wp:extent cx="790575" cy="114300"/>
                  <wp:effectExtent l="0" t="0" r="9525" b="0"/>
                  <wp:docPr id="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90575" cy="114300"/>
                          </a:xfrm>
                          <a:prstGeom prst="rect">
                            <a:avLst/>
                          </a:prstGeom>
                          <a:noFill/>
                          <a:ln>
                            <a:noFill/>
                          </a:ln>
                        </pic:spPr>
                      </pic:pic>
                    </a:graphicData>
                  </a:graphic>
                </wp:inline>
              </w:drawing>
            </w:r>
            <w:r>
              <w:rPr>
                <w:sz w:val="24"/>
                <w:szCs w:val="24"/>
              </w:rPr>
              <w:t>41.67%</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500" w:hRule="atLeast"/>
          <w:jc w:val="center"/>
        </w:trPr>
        <w:tc>
          <w:tcPr>
            <w:tcW w:w="2944" w:type="dxa"/>
            <w:tcBorders>
              <w:top w:val="single" w:color="D7D7D7" w:sz="4" w:space="0"/>
              <w:left w:val="single" w:color="D7D7D7" w:sz="4" w:space="0"/>
              <w:bottom w:val="single" w:color="D7D7D7" w:sz="4" w:space="0"/>
              <w:right w:val="single" w:color="D7D7D7" w:sz="4" w:space="0"/>
            </w:tcBorders>
            <w:shd w:val="clear" w:color="auto" w:fill="E0E0E0"/>
            <w:vAlign w:val="center"/>
          </w:tcPr>
          <w:p>
            <w:pPr>
              <w:rPr>
                <w:sz w:val="24"/>
                <w:szCs w:val="24"/>
              </w:rPr>
            </w:pPr>
            <w:r>
              <w:rPr>
                <w:sz w:val="24"/>
                <w:szCs w:val="24"/>
              </w:rPr>
              <w:t>本题有效填写人次</w:t>
            </w:r>
          </w:p>
        </w:tc>
        <w:tc>
          <w:tcPr>
            <w:tcW w:w="1133"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72</w:t>
            </w:r>
          </w:p>
        </w:tc>
        <w:tc>
          <w:tcPr>
            <w:tcW w:w="3685" w:type="dxa"/>
            <w:tcBorders>
              <w:top w:val="single" w:color="D7D7D7" w:sz="4" w:space="0"/>
              <w:left w:val="single" w:color="D7D7D7" w:sz="4" w:space="0"/>
              <w:bottom w:val="single" w:color="D7D7D7" w:sz="4" w:space="0"/>
              <w:right w:val="single" w:color="D7D7D7" w:sz="4" w:space="0"/>
            </w:tcBorders>
            <w:shd w:val="clear" w:color="auto" w:fill="E0E0E0"/>
            <w:vAlign w:val="center"/>
          </w:tcPr>
          <w:p>
            <w:pPr>
              <w:rPr>
                <w:sz w:val="24"/>
                <w:szCs w:val="24"/>
              </w:rPr>
            </w:pPr>
            <w:r>
              <w:rPr>
                <w:sz w:val="24"/>
                <w:szCs w:val="24"/>
              </w:rPr>
              <w:t>注：部分企业多业态经营</w:t>
            </w:r>
          </w:p>
        </w:tc>
      </w:tr>
    </w:tbl>
    <w:p>
      <w:pPr>
        <w:spacing w:line="560" w:lineRule="exact"/>
        <w:jc w:val="center"/>
        <w:rPr>
          <w:b/>
          <w:sz w:val="24"/>
          <w:szCs w:val="24"/>
        </w:rPr>
      </w:pPr>
      <w:r>
        <w:rPr>
          <w:b/>
          <w:sz w:val="24"/>
          <w:szCs w:val="24"/>
        </w:rPr>
        <w:t>表3-3 企业调研问卷来源分析表</w:t>
      </w:r>
    </w:p>
    <w:tbl>
      <w:tblPr>
        <w:tblStyle w:val="22"/>
        <w:tblW w:w="7754" w:type="dxa"/>
        <w:jc w:val="center"/>
        <w:tblInd w:w="0" w:type="dxa"/>
        <w:tblLayout w:type="fixed"/>
        <w:tblCellMar>
          <w:top w:w="0" w:type="dxa"/>
          <w:left w:w="108" w:type="dxa"/>
          <w:bottom w:w="0" w:type="dxa"/>
          <w:right w:w="108" w:type="dxa"/>
        </w:tblCellMar>
      </w:tblPr>
      <w:tblGrid>
        <w:gridCol w:w="5394"/>
        <w:gridCol w:w="2360"/>
      </w:tblGrid>
      <w:tr>
        <w:tblPrEx>
          <w:tblLayout w:type="fixed"/>
          <w:tblCellMar>
            <w:top w:w="0" w:type="dxa"/>
            <w:left w:w="108" w:type="dxa"/>
            <w:bottom w:w="0" w:type="dxa"/>
            <w:right w:w="108" w:type="dxa"/>
          </w:tblCellMar>
        </w:tblPrEx>
        <w:trPr>
          <w:trHeight w:val="330" w:hRule="atLeast"/>
          <w:jc w:val="center"/>
        </w:trPr>
        <w:tc>
          <w:tcPr>
            <w:tcW w:w="539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b/>
                <w:bCs/>
                <w:color w:val="000000"/>
                <w:kern w:val="0"/>
                <w:sz w:val="24"/>
                <w:szCs w:val="24"/>
              </w:rPr>
            </w:pPr>
            <w:r>
              <w:rPr>
                <w:b/>
                <w:bCs/>
                <w:color w:val="000000"/>
                <w:kern w:val="0"/>
                <w:sz w:val="24"/>
                <w:szCs w:val="24"/>
              </w:rPr>
              <w:t>数据来源地区</w:t>
            </w:r>
          </w:p>
        </w:tc>
        <w:tc>
          <w:tcPr>
            <w:tcW w:w="2360" w:type="dxa"/>
            <w:tcBorders>
              <w:top w:val="single" w:color="auto" w:sz="4" w:space="0"/>
              <w:left w:val="nil"/>
              <w:bottom w:val="single" w:color="auto" w:sz="4" w:space="0"/>
              <w:right w:val="single" w:color="auto" w:sz="4" w:space="0"/>
            </w:tcBorders>
            <w:shd w:val="clear" w:color="auto" w:fill="auto"/>
            <w:vAlign w:val="bottom"/>
          </w:tcPr>
          <w:p>
            <w:pPr>
              <w:widowControl/>
              <w:jc w:val="center"/>
              <w:rPr>
                <w:b/>
                <w:bCs/>
                <w:color w:val="000000"/>
                <w:kern w:val="0"/>
                <w:sz w:val="24"/>
                <w:szCs w:val="24"/>
              </w:rPr>
            </w:pPr>
            <w:r>
              <w:rPr>
                <w:b/>
                <w:bCs/>
                <w:color w:val="000000"/>
                <w:kern w:val="0"/>
                <w:sz w:val="24"/>
                <w:szCs w:val="24"/>
              </w:rPr>
              <w:t>调研数量</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华北地区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11</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华东地区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22</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华南地区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12</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华中地区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6</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西南地区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6</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东北地区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10</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color w:val="000000"/>
                <w:kern w:val="0"/>
                <w:sz w:val="24"/>
                <w:szCs w:val="24"/>
              </w:rPr>
            </w:pPr>
            <w:r>
              <w:rPr>
                <w:color w:val="000000"/>
                <w:kern w:val="0"/>
                <w:sz w:val="24"/>
                <w:szCs w:val="24"/>
              </w:rPr>
              <w:t>西北地区</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kern w:val="0"/>
                <w:sz w:val="24"/>
                <w:szCs w:val="24"/>
              </w:rPr>
            </w:pPr>
            <w:r>
              <w:rPr>
                <w:kern w:val="0"/>
                <w:sz w:val="24"/>
                <w:szCs w:val="24"/>
              </w:rPr>
              <w:t>5</w:t>
            </w:r>
          </w:p>
        </w:tc>
      </w:tr>
      <w:tr>
        <w:tblPrEx>
          <w:tblLayout w:type="fixed"/>
          <w:tblCellMar>
            <w:top w:w="0" w:type="dxa"/>
            <w:left w:w="108" w:type="dxa"/>
            <w:bottom w:w="0" w:type="dxa"/>
            <w:right w:w="108" w:type="dxa"/>
          </w:tblCellMar>
        </w:tblPrEx>
        <w:trPr>
          <w:trHeight w:val="280" w:hRule="atLeast"/>
          <w:jc w:val="center"/>
        </w:trPr>
        <w:tc>
          <w:tcPr>
            <w:tcW w:w="5394" w:type="dxa"/>
            <w:tcBorders>
              <w:top w:val="nil"/>
              <w:left w:val="single" w:color="auto" w:sz="4" w:space="0"/>
              <w:bottom w:val="single" w:color="auto" w:sz="4" w:space="0"/>
              <w:right w:val="single" w:color="auto" w:sz="4" w:space="0"/>
            </w:tcBorders>
            <w:shd w:val="clear" w:color="auto" w:fill="auto"/>
            <w:vAlign w:val="bottom"/>
          </w:tcPr>
          <w:p>
            <w:pPr>
              <w:widowControl/>
              <w:jc w:val="center"/>
              <w:rPr>
                <w:b/>
                <w:bCs/>
                <w:color w:val="000000"/>
                <w:kern w:val="0"/>
                <w:sz w:val="24"/>
                <w:szCs w:val="24"/>
              </w:rPr>
            </w:pPr>
            <w:r>
              <w:rPr>
                <w:b/>
                <w:bCs/>
                <w:color w:val="000000"/>
                <w:kern w:val="0"/>
                <w:sz w:val="24"/>
                <w:szCs w:val="24"/>
              </w:rPr>
              <w:t>合计</w:t>
            </w:r>
          </w:p>
        </w:tc>
        <w:tc>
          <w:tcPr>
            <w:tcW w:w="2360" w:type="dxa"/>
            <w:tcBorders>
              <w:top w:val="nil"/>
              <w:left w:val="nil"/>
              <w:bottom w:val="single" w:color="auto" w:sz="4" w:space="0"/>
              <w:right w:val="single" w:color="auto" w:sz="4" w:space="0"/>
            </w:tcBorders>
            <w:shd w:val="clear" w:color="auto" w:fill="auto"/>
            <w:vAlign w:val="bottom"/>
          </w:tcPr>
          <w:p>
            <w:pPr>
              <w:widowControl/>
              <w:jc w:val="center"/>
              <w:rPr>
                <w:b/>
                <w:bCs/>
                <w:kern w:val="0"/>
                <w:sz w:val="24"/>
                <w:szCs w:val="24"/>
              </w:rPr>
            </w:pPr>
            <w:r>
              <w:rPr>
                <w:b/>
                <w:bCs/>
                <w:kern w:val="0"/>
                <w:sz w:val="24"/>
                <w:szCs w:val="24"/>
              </w:rPr>
              <w:fldChar w:fldCharType="begin"/>
            </w:r>
            <w:r>
              <w:rPr>
                <w:b/>
                <w:bCs/>
                <w:kern w:val="0"/>
                <w:sz w:val="24"/>
                <w:szCs w:val="24"/>
              </w:rPr>
              <w:instrText xml:space="preserve"> =SUM(ABOVE) </w:instrText>
            </w:r>
            <w:r>
              <w:rPr>
                <w:b/>
                <w:bCs/>
                <w:kern w:val="0"/>
                <w:sz w:val="24"/>
                <w:szCs w:val="24"/>
              </w:rPr>
              <w:fldChar w:fldCharType="separate"/>
            </w:r>
            <w:r>
              <w:rPr>
                <w:b/>
                <w:bCs/>
                <w:kern w:val="0"/>
                <w:sz w:val="24"/>
                <w:szCs w:val="24"/>
              </w:rPr>
              <w:t>72</w:t>
            </w:r>
            <w:r>
              <w:rPr>
                <w:b/>
                <w:bCs/>
                <w:kern w:val="0"/>
                <w:sz w:val="24"/>
                <w:szCs w:val="24"/>
              </w:rPr>
              <w:fldChar w:fldCharType="end"/>
            </w:r>
          </w:p>
        </w:tc>
      </w:tr>
    </w:tbl>
    <w:p>
      <w:pPr>
        <w:pStyle w:val="2"/>
        <w:spacing w:before="120" w:after="120" w:line="560" w:lineRule="exact"/>
        <w:ind w:firstLine="600" w:firstLineChars="200"/>
        <w:rPr>
          <w:rFonts w:eastAsia="黑体"/>
          <w:b w:val="0"/>
          <w:sz w:val="30"/>
        </w:rPr>
      </w:pPr>
      <w:bookmarkStart w:id="22" w:name="_Toc492851722"/>
      <w:bookmarkStart w:id="23" w:name="_Toc493777261"/>
      <w:bookmarkStart w:id="24" w:name="_Toc494016487"/>
      <w:r>
        <w:rPr>
          <w:rFonts w:eastAsia="黑体"/>
          <w:b w:val="0"/>
          <w:sz w:val="30"/>
        </w:rPr>
        <w:t>四、调研内容</w:t>
      </w:r>
      <w:bookmarkEnd w:id="22"/>
      <w:bookmarkEnd w:id="23"/>
      <w:bookmarkEnd w:id="24"/>
    </w:p>
    <w:p>
      <w:pPr>
        <w:spacing w:line="560" w:lineRule="exact"/>
        <w:ind w:firstLine="600" w:firstLineChars="200"/>
        <w:rPr>
          <w:sz w:val="30"/>
          <w:szCs w:val="30"/>
        </w:rPr>
      </w:pPr>
      <w:r>
        <w:rPr>
          <w:sz w:val="30"/>
          <w:szCs w:val="30"/>
        </w:rPr>
        <w:t>本次调研主要针对行业、企业、学校、毕业生，以及相关研究评价机构等。</w:t>
      </w:r>
    </w:p>
    <w:p>
      <w:pPr>
        <w:spacing w:line="560" w:lineRule="exact"/>
        <w:ind w:firstLine="600" w:firstLineChars="200"/>
        <w:rPr>
          <w:sz w:val="30"/>
          <w:szCs w:val="30"/>
        </w:rPr>
      </w:pPr>
      <w:r>
        <w:rPr>
          <w:sz w:val="30"/>
          <w:szCs w:val="30"/>
        </w:rPr>
        <w:t>在行业调研中，重点调研了商务部、中国商业联合会和中国连锁经营协会相关数据和专题报告，调研内容包括：相关行业发展总体形势；经济转型升级、产业结构调整等对行业有关技术技能领域提出的新要求；行业技术技能人才供求状况及需求预测，特别是对高等职业教育的供求状况。</w:t>
      </w:r>
    </w:p>
    <w:p>
      <w:pPr>
        <w:spacing w:line="560" w:lineRule="exact"/>
        <w:ind w:firstLine="600" w:firstLineChars="200"/>
        <w:rPr>
          <w:sz w:val="30"/>
          <w:szCs w:val="30"/>
        </w:rPr>
      </w:pPr>
      <w:r>
        <w:rPr>
          <w:sz w:val="30"/>
          <w:szCs w:val="30"/>
        </w:rPr>
        <w:t>企业调研内容包括：连锁企业对人才需求情况；连锁企业对毕业生的期望，包括知识、技能和素养等；连锁企业岗位对职业能力的要求。</w:t>
      </w:r>
    </w:p>
    <w:p>
      <w:pPr>
        <w:spacing w:line="560" w:lineRule="exact"/>
        <w:ind w:firstLine="600" w:firstLineChars="200"/>
        <w:rPr>
          <w:sz w:val="30"/>
          <w:szCs w:val="30"/>
        </w:rPr>
      </w:pPr>
      <w:r>
        <w:rPr>
          <w:sz w:val="30"/>
          <w:szCs w:val="30"/>
        </w:rPr>
        <w:t>学校调研重点调研了江苏经贸职业技术学院、广西职业技术学院、山东经贸职业学院、重庆城市管理职业学院、浙江商业职业技术学院、北京财贸职业学院、山西省财政税务专科学校、安徽商贸职业技术学院等8所学校，对以下情况进行了调研：院校连锁经营管理专业教学基本情况，包括专业建设、校企合作、课程体系、教学实施、教学管理、教学评价、质量保障、师资队伍、实习实训条件、配套资源等；有关专业招生、就业情况，包括生源情况、专业就业率、对口就业率，毕业生考取行业有关资格证书情况等；学校有关专业人才培养方案内容及执行情况，包括专业人才培养方案的执行情况、存在问题、课程结构比例、专业教学内容更新情况等。</w:t>
      </w:r>
    </w:p>
    <w:p>
      <w:pPr>
        <w:spacing w:line="560" w:lineRule="exact"/>
        <w:ind w:firstLine="600" w:firstLineChars="200"/>
        <w:rPr>
          <w:sz w:val="30"/>
          <w:szCs w:val="30"/>
        </w:rPr>
      </w:pPr>
      <w:bookmarkStart w:id="25" w:name="_Toc492851727"/>
      <w:r>
        <w:rPr>
          <w:sz w:val="30"/>
          <w:szCs w:val="30"/>
        </w:rPr>
        <w:t>有关研究评价机构的调研</w:t>
      </w:r>
      <w:bookmarkEnd w:id="25"/>
      <w:r>
        <w:rPr>
          <w:sz w:val="30"/>
          <w:szCs w:val="30"/>
        </w:rPr>
        <w:t>，包括先进国家相关专业课程体系建设、教学内容更新、教学基本文件研制等方面工作情况。</w:t>
      </w:r>
    </w:p>
    <w:p>
      <w:pPr>
        <w:pStyle w:val="2"/>
        <w:spacing w:before="120" w:after="120" w:line="560" w:lineRule="exact"/>
        <w:ind w:firstLine="600" w:firstLineChars="200"/>
        <w:rPr>
          <w:rFonts w:eastAsia="黑体"/>
          <w:b w:val="0"/>
          <w:sz w:val="30"/>
        </w:rPr>
      </w:pPr>
      <w:bookmarkStart w:id="26" w:name="_Toc494016488"/>
      <w:bookmarkStart w:id="27" w:name="_Toc493777262"/>
      <w:bookmarkStart w:id="28" w:name="_Toc492851728"/>
      <w:r>
        <w:rPr>
          <w:rFonts w:eastAsia="黑体"/>
          <w:b w:val="0"/>
          <w:sz w:val="30"/>
        </w:rPr>
        <w:t>五、调研结果分析</w:t>
      </w:r>
      <w:bookmarkEnd w:id="26"/>
      <w:bookmarkEnd w:id="27"/>
      <w:bookmarkEnd w:id="28"/>
    </w:p>
    <w:p>
      <w:pPr>
        <w:pStyle w:val="31"/>
        <w:numPr>
          <w:ilvl w:val="0"/>
          <w:numId w:val="0"/>
        </w:numPr>
        <w:spacing w:line="560" w:lineRule="exact"/>
        <w:ind w:firstLine="602" w:firstLineChars="200"/>
        <w:outlineLvl w:val="1"/>
        <w:rPr>
          <w:rFonts w:eastAsia="仿宋_GB2312"/>
          <w:szCs w:val="30"/>
        </w:rPr>
      </w:pPr>
      <w:bookmarkStart w:id="29" w:name="_Toc490764652"/>
      <w:bookmarkStart w:id="30" w:name="_Toc492851729"/>
      <w:bookmarkStart w:id="31" w:name="_Toc493777263"/>
      <w:bookmarkStart w:id="32" w:name="_Toc494016489"/>
      <w:r>
        <w:rPr>
          <w:rFonts w:eastAsia="仿宋_GB2312"/>
          <w:szCs w:val="30"/>
        </w:rPr>
        <w:t>（一）国家政策文献调研分析</w:t>
      </w:r>
      <w:bookmarkEnd w:id="29"/>
      <w:bookmarkEnd w:id="30"/>
      <w:bookmarkEnd w:id="31"/>
      <w:bookmarkEnd w:id="32"/>
    </w:p>
    <w:p>
      <w:pPr>
        <w:spacing w:line="560" w:lineRule="exact"/>
        <w:ind w:firstLine="600" w:firstLineChars="200"/>
        <w:rPr>
          <w:sz w:val="30"/>
          <w:szCs w:val="30"/>
        </w:rPr>
      </w:pPr>
      <w:r>
        <w:rPr>
          <w:sz w:val="30"/>
          <w:szCs w:val="30"/>
        </w:rPr>
        <w:t>国</w:t>
      </w:r>
      <w:r>
        <w:rPr>
          <w:rFonts w:hint="eastAsia"/>
          <w:sz w:val="30"/>
          <w:szCs w:val="30"/>
        </w:rPr>
        <w:t>家“十三五”</w:t>
      </w:r>
      <w:r>
        <w:rPr>
          <w:sz w:val="30"/>
          <w:szCs w:val="30"/>
        </w:rPr>
        <w:t>发展规划明确提出把推动服务业大发展作为产业结构优化升级的战略重点，拓展服务业的新领域，发展新业态，培育新热点，推进服务业规模化、品牌化、网络化经营，不断提高服务业比重和水平。特别是加快发展现代流通，鼓励发展连锁经营。推动连锁经营向多行业、多业态延伸，提高流通规模化、组织化程度。鼓励发展直营连锁，规范发展特许连锁，扶持发展自愿连锁。提升统一采购、统一管理、统一核算、统一配送水平。十三五规划更是有强调餐饮、医药、农资、服装等行业的连锁化发展之趋势。</w:t>
      </w:r>
    </w:p>
    <w:p>
      <w:pPr>
        <w:spacing w:line="560" w:lineRule="exact"/>
        <w:ind w:firstLine="600" w:firstLineChars="200"/>
        <w:rPr>
          <w:sz w:val="30"/>
          <w:szCs w:val="30"/>
        </w:rPr>
      </w:pPr>
      <w:r>
        <w:rPr>
          <w:sz w:val="30"/>
          <w:szCs w:val="30"/>
        </w:rPr>
        <w:t>在2015年政府工作报告中，国务院总理李克强首次提及“把以互联网为载体、线上线下互动的新兴消费搞得红红火火”，这是中国政府总理第一次提及鼓励O2O线上线下互动消费，这对目前大热的O2O行业将起到促进作用。</w:t>
      </w:r>
    </w:p>
    <w:p>
      <w:pPr>
        <w:spacing w:line="560" w:lineRule="exact"/>
        <w:ind w:firstLine="600" w:firstLineChars="200"/>
        <w:rPr>
          <w:sz w:val="30"/>
          <w:szCs w:val="30"/>
        </w:rPr>
      </w:pPr>
      <w:r>
        <w:rPr>
          <w:sz w:val="30"/>
          <w:szCs w:val="30"/>
        </w:rPr>
        <w:t>2016年，李克强总理在第十二届全国人民代表大会第四次会议上明确提出</w:t>
      </w:r>
      <w:r>
        <w:rPr>
          <w:rFonts w:hint="eastAsia"/>
          <w:sz w:val="30"/>
          <w:szCs w:val="30"/>
        </w:rPr>
        <w:t>要“鼓励线上线下互动，推动实体商业创新转型”。</w:t>
      </w:r>
    </w:p>
    <w:p>
      <w:pPr>
        <w:pStyle w:val="31"/>
        <w:numPr>
          <w:ilvl w:val="0"/>
          <w:numId w:val="0"/>
        </w:numPr>
        <w:spacing w:line="560" w:lineRule="exact"/>
        <w:ind w:firstLine="602" w:firstLineChars="200"/>
        <w:outlineLvl w:val="1"/>
        <w:rPr>
          <w:rFonts w:eastAsia="仿宋_GB2312"/>
          <w:szCs w:val="30"/>
        </w:rPr>
      </w:pPr>
      <w:bookmarkStart w:id="33" w:name="_Toc493777264"/>
      <w:bookmarkStart w:id="34" w:name="_Toc492851730"/>
      <w:bookmarkStart w:id="35" w:name="_Toc494016490"/>
      <w:r>
        <w:rPr>
          <w:rFonts w:eastAsia="仿宋_GB2312"/>
          <w:szCs w:val="30"/>
        </w:rPr>
        <w:t>（二）行业调研结果分析</w:t>
      </w:r>
      <w:bookmarkEnd w:id="33"/>
      <w:bookmarkEnd w:id="34"/>
      <w:bookmarkEnd w:id="35"/>
    </w:p>
    <w:p>
      <w:pPr>
        <w:spacing w:line="560" w:lineRule="exact"/>
        <w:ind w:firstLine="602" w:firstLineChars="200"/>
        <w:rPr>
          <w:b/>
          <w:sz w:val="30"/>
          <w:szCs w:val="30"/>
        </w:rPr>
      </w:pPr>
      <w:bookmarkStart w:id="36" w:name="_Toc387760758"/>
      <w:bookmarkStart w:id="37" w:name="_Toc387761755"/>
      <w:bookmarkStart w:id="38" w:name="_Toc387762955"/>
      <w:bookmarkStart w:id="39" w:name="_Toc488169389"/>
      <w:r>
        <w:rPr>
          <w:b/>
          <w:sz w:val="30"/>
          <w:szCs w:val="30"/>
        </w:rPr>
        <w:t>1．连锁经营是现代服务业的主要组织形式</w:t>
      </w:r>
      <w:bookmarkEnd w:id="36"/>
      <w:bookmarkEnd w:id="37"/>
      <w:bookmarkEnd w:id="38"/>
      <w:bookmarkEnd w:id="39"/>
    </w:p>
    <w:p>
      <w:pPr>
        <w:spacing w:line="560" w:lineRule="exact"/>
        <w:ind w:firstLine="600" w:firstLineChars="200"/>
        <w:rPr>
          <w:sz w:val="30"/>
          <w:szCs w:val="30"/>
        </w:rPr>
      </w:pPr>
      <w:r>
        <w:rPr>
          <w:sz w:val="30"/>
          <w:szCs w:val="30"/>
        </w:rPr>
        <w:t>连锁经营作为一种现代流通组织形式和经营方式，90年代进入我国后，首先在零售领域得到了迅猛发展，当前连锁经营已经成为我国零售业的主要形态。随着连锁经营方式的发展与成熟，目前已经在包括批发与零售业、住宿与餐饮业、居民服务业在内的3大行业的企业中广为应用。</w:t>
      </w:r>
    </w:p>
    <w:p>
      <w:pPr>
        <w:spacing w:line="560" w:lineRule="exact"/>
        <w:ind w:firstLine="600" w:firstLineChars="200"/>
        <w:rPr>
          <w:sz w:val="30"/>
          <w:szCs w:val="30"/>
        </w:rPr>
      </w:pPr>
      <w:r>
        <w:rPr>
          <w:sz w:val="30"/>
          <w:szCs w:val="30"/>
        </w:rPr>
        <w:t>最具连锁经营方式发展经验的是零售业，2016年我国零售百强企业实现销售额4.82万亿元，同比增长18.5％，高于社会消费品零售总额增速8.1个百分点。中国商业联合会和中华全国商业信息中心联合发布的201</w:t>
      </w:r>
      <w:r>
        <w:rPr>
          <w:rFonts w:hint="eastAsia"/>
          <w:sz w:val="30"/>
          <w:szCs w:val="30"/>
          <w:lang w:val="en-US" w:eastAsia="zh-CN"/>
        </w:rPr>
        <w:t>8</w:t>
      </w:r>
      <w:r>
        <w:rPr>
          <w:sz w:val="30"/>
          <w:szCs w:val="30"/>
        </w:rPr>
        <w:t>年度中国零售百强榜单显示，95家企业采用连锁经营形式。</w:t>
      </w:r>
    </w:p>
    <w:p>
      <w:pPr>
        <w:spacing w:line="560" w:lineRule="exact"/>
        <w:ind w:firstLine="600" w:firstLineChars="200"/>
        <w:rPr>
          <w:sz w:val="30"/>
          <w:szCs w:val="30"/>
        </w:rPr>
      </w:pPr>
      <w:r>
        <w:rPr>
          <w:sz w:val="30"/>
          <w:szCs w:val="30"/>
        </w:rPr>
        <w:t>此外，连锁经营方式在餐饮服务、酒店服务、健康美容、汽车销售、房产中介、教育培训、房屋装潢、维修服务、休闲娱乐、洗衣、物流、租赁等各种服务性行业也都普遍适用。201</w:t>
      </w:r>
      <w:r>
        <w:rPr>
          <w:rFonts w:hint="eastAsia"/>
          <w:sz w:val="30"/>
          <w:szCs w:val="30"/>
          <w:lang w:val="en-US" w:eastAsia="zh-CN"/>
        </w:rPr>
        <w:t>8</w:t>
      </w:r>
      <w:r>
        <w:rPr>
          <w:sz w:val="30"/>
          <w:szCs w:val="30"/>
        </w:rPr>
        <w:t>中国连锁100强统计信息显示，连锁经营模式的行业覆盖包括：商品零售、餐饮、住宿、汽车维修等。</w:t>
      </w:r>
      <w:bookmarkStart w:id="40" w:name="_Toc387760760"/>
      <w:bookmarkStart w:id="41" w:name="_Toc387761757"/>
      <w:bookmarkStart w:id="42" w:name="_Toc387762957"/>
    </w:p>
    <w:p>
      <w:pPr>
        <w:spacing w:line="560" w:lineRule="exact"/>
        <w:ind w:firstLine="602" w:firstLineChars="200"/>
        <w:rPr>
          <w:b/>
          <w:sz w:val="30"/>
          <w:szCs w:val="30"/>
        </w:rPr>
      </w:pPr>
      <w:bookmarkStart w:id="43" w:name="_Toc488169391"/>
      <w:r>
        <w:rPr>
          <w:b/>
          <w:sz w:val="30"/>
          <w:szCs w:val="30"/>
        </w:rPr>
        <w:t>2．连锁行业</w:t>
      </w:r>
      <w:bookmarkEnd w:id="40"/>
      <w:bookmarkEnd w:id="41"/>
      <w:bookmarkEnd w:id="42"/>
      <w:r>
        <w:rPr>
          <w:b/>
          <w:sz w:val="30"/>
          <w:szCs w:val="30"/>
        </w:rPr>
        <w:t>面临很大挑战，政府积极规划引导</w:t>
      </w:r>
      <w:bookmarkEnd w:id="43"/>
    </w:p>
    <w:p>
      <w:pPr>
        <w:spacing w:line="560" w:lineRule="exact"/>
        <w:ind w:firstLine="600" w:firstLineChars="200"/>
        <w:rPr>
          <w:sz w:val="30"/>
          <w:szCs w:val="30"/>
        </w:rPr>
      </w:pPr>
      <w:r>
        <w:rPr>
          <w:sz w:val="30"/>
          <w:szCs w:val="30"/>
        </w:rPr>
        <w:t>土地、人力、租金等费用提高，连锁行业成本上升压力加大。居民消费结构加速升级，便利消费、品质消费、服务消费等需求增强，连锁经营创新经营业态、商业模式、服务内容的任务更加艰巨。资源环境制约加剧，粗放型发展方式难以持续，连锁经营领域实现绿色、低碳、循环发展的压力加大。</w:t>
      </w:r>
      <w:bookmarkStart w:id="44" w:name="_Toc467069650"/>
    </w:p>
    <w:p>
      <w:pPr>
        <w:spacing w:line="560" w:lineRule="exact"/>
        <w:ind w:firstLine="600" w:firstLineChars="200"/>
        <w:rPr>
          <w:sz w:val="30"/>
          <w:szCs w:val="30"/>
        </w:rPr>
      </w:pPr>
      <w:r>
        <w:rPr>
          <w:sz w:val="30"/>
          <w:szCs w:val="30"/>
        </w:rPr>
        <w:t>商务部在国内贸易</w:t>
      </w:r>
      <w:r>
        <w:rPr>
          <w:rFonts w:hint="eastAsia"/>
          <w:sz w:val="30"/>
          <w:szCs w:val="30"/>
        </w:rPr>
        <w:t>“十三五规划”中明</w:t>
      </w:r>
      <w:r>
        <w:rPr>
          <w:sz w:val="30"/>
          <w:szCs w:val="30"/>
        </w:rPr>
        <w:t>确指出，要创新经营业态与模式</w:t>
      </w:r>
      <w:bookmarkEnd w:id="44"/>
      <w:r>
        <w:rPr>
          <w:sz w:val="30"/>
          <w:szCs w:val="30"/>
        </w:rPr>
        <w:t>，鼓励实体商业与旅游、文化和娱乐等相关产业跨界融合。实施零售业提质增效专项行动，引导零售企业提高自营比重，积极发展买断经营，鼓励购物中心、百货店等调整经营结构，从传统销售场所向社交体验消费中心转型。</w:t>
      </w:r>
      <w:bookmarkStart w:id="45" w:name="_Toc467069651"/>
    </w:p>
    <w:bookmarkEnd w:id="45"/>
    <w:p>
      <w:pPr>
        <w:spacing w:line="560" w:lineRule="exact"/>
        <w:ind w:firstLine="602" w:firstLineChars="200"/>
        <w:rPr>
          <w:b/>
          <w:sz w:val="30"/>
          <w:szCs w:val="30"/>
        </w:rPr>
      </w:pPr>
      <w:bookmarkStart w:id="46" w:name="_Toc387760761"/>
      <w:bookmarkStart w:id="47" w:name="_Toc387761758"/>
      <w:bookmarkStart w:id="48" w:name="_Toc387762958"/>
      <w:bookmarkStart w:id="49" w:name="_Toc488169392"/>
      <w:r>
        <w:rPr>
          <w:b/>
          <w:sz w:val="30"/>
          <w:szCs w:val="30"/>
        </w:rPr>
        <w:t>3．行业对连锁经营人才需求缺口大</w:t>
      </w:r>
      <w:bookmarkEnd w:id="46"/>
      <w:bookmarkEnd w:id="47"/>
      <w:bookmarkEnd w:id="48"/>
      <w:bookmarkEnd w:id="49"/>
    </w:p>
    <w:p>
      <w:pPr>
        <w:spacing w:line="560" w:lineRule="exact"/>
        <w:ind w:firstLine="600" w:firstLineChars="200"/>
        <w:rPr>
          <w:sz w:val="30"/>
          <w:szCs w:val="30"/>
        </w:rPr>
      </w:pPr>
      <w:r>
        <w:rPr>
          <w:sz w:val="30"/>
          <w:szCs w:val="30"/>
        </w:rPr>
        <w:t>据中国商业联合会《201</w:t>
      </w:r>
      <w:r>
        <w:rPr>
          <w:rFonts w:hint="eastAsia"/>
          <w:sz w:val="30"/>
          <w:szCs w:val="30"/>
          <w:lang w:val="en-US" w:eastAsia="zh-CN"/>
        </w:rPr>
        <w:t>7</w:t>
      </w:r>
      <w:r>
        <w:rPr>
          <w:sz w:val="30"/>
          <w:szCs w:val="30"/>
        </w:rPr>
        <w:t>-201</w:t>
      </w:r>
      <w:r>
        <w:rPr>
          <w:rFonts w:hint="eastAsia"/>
          <w:sz w:val="30"/>
          <w:szCs w:val="30"/>
          <w:lang w:val="en-US" w:eastAsia="zh-CN"/>
        </w:rPr>
        <w:t>8</w:t>
      </w:r>
      <w:r>
        <w:rPr>
          <w:sz w:val="30"/>
          <w:szCs w:val="30"/>
        </w:rPr>
        <w:t>中国零售业人力资源蓝皮书》显示，以连锁经营为主的相关行业面</w:t>
      </w:r>
      <w:r>
        <w:rPr>
          <w:rFonts w:hint="eastAsia"/>
          <w:sz w:val="30"/>
          <w:szCs w:val="30"/>
        </w:rPr>
        <w:t>临“人才荒”</w:t>
      </w:r>
      <w:r>
        <w:rPr>
          <w:sz w:val="30"/>
          <w:szCs w:val="30"/>
        </w:rPr>
        <w:t>，82%的企业平均人员缺岗率在5-9%之间。许多企业实际上还面临另一个隐形的缺人挑战，即虽然有些岗位人员还在，但在岗人员不能满足岗位职责的要求。201</w:t>
      </w:r>
      <w:r>
        <w:rPr>
          <w:rFonts w:hint="eastAsia"/>
          <w:sz w:val="30"/>
          <w:szCs w:val="30"/>
          <w:lang w:val="en-US" w:eastAsia="zh-CN"/>
        </w:rPr>
        <w:t>7</w:t>
      </w:r>
      <w:r>
        <w:rPr>
          <w:sz w:val="30"/>
          <w:szCs w:val="30"/>
        </w:rPr>
        <w:t>-201</w:t>
      </w:r>
      <w:r>
        <w:rPr>
          <w:rFonts w:hint="eastAsia"/>
          <w:sz w:val="30"/>
          <w:szCs w:val="30"/>
          <w:lang w:val="en-US" w:eastAsia="zh-CN"/>
        </w:rPr>
        <w:t>8</w:t>
      </w:r>
      <w:r>
        <w:rPr>
          <w:sz w:val="30"/>
          <w:szCs w:val="30"/>
        </w:rPr>
        <w:t>年</w:t>
      </w:r>
      <w:r>
        <w:rPr>
          <w:rFonts w:hint="eastAsia"/>
          <w:sz w:val="30"/>
          <w:szCs w:val="30"/>
        </w:rPr>
        <w:t>，“隐形缺岗率”继续</w:t>
      </w:r>
      <w:r>
        <w:rPr>
          <w:sz w:val="30"/>
          <w:szCs w:val="30"/>
        </w:rPr>
        <w:t>高位，平均水平在15-20%之间。这就要求无论学校还是企业都需要真正培养出适应行业需求的连锁人才。</w:t>
      </w:r>
    </w:p>
    <w:p>
      <w:pPr>
        <w:pStyle w:val="31"/>
        <w:numPr>
          <w:ilvl w:val="0"/>
          <w:numId w:val="0"/>
        </w:numPr>
        <w:spacing w:line="560" w:lineRule="exact"/>
        <w:ind w:firstLine="602" w:firstLineChars="200"/>
        <w:outlineLvl w:val="1"/>
        <w:rPr>
          <w:rFonts w:eastAsia="仿宋_GB2312"/>
          <w:color w:val="000000" w:themeColor="text1"/>
          <w:szCs w:val="30"/>
          <w14:textFill>
            <w14:solidFill>
              <w14:schemeClr w14:val="tx1"/>
            </w14:solidFill>
          </w14:textFill>
        </w:rPr>
      </w:pPr>
      <w:bookmarkStart w:id="50" w:name="_Toc493777265"/>
      <w:bookmarkStart w:id="51" w:name="_Toc494016491"/>
      <w:bookmarkStart w:id="52" w:name="_Toc492851731"/>
      <w:r>
        <w:rPr>
          <w:rFonts w:eastAsia="仿宋_GB2312"/>
          <w:color w:val="000000" w:themeColor="text1"/>
          <w:szCs w:val="30"/>
          <w14:textFill>
            <w14:solidFill>
              <w14:schemeClr w14:val="tx1"/>
            </w14:solidFill>
          </w14:textFill>
        </w:rPr>
        <w:t>（三）企业人才需求分析</w:t>
      </w:r>
      <w:bookmarkEnd w:id="50"/>
      <w:r>
        <w:rPr>
          <w:rFonts w:eastAsia="仿宋_GB2312"/>
          <w:color w:val="000000" w:themeColor="text1"/>
          <w:szCs w:val="30"/>
          <w14:textFill>
            <w14:solidFill>
              <w14:schemeClr w14:val="tx1"/>
            </w14:solidFill>
          </w14:textFill>
        </w:rPr>
        <w:t>及典型职业活动</w:t>
      </w:r>
      <w:bookmarkEnd w:id="51"/>
    </w:p>
    <w:p>
      <w:pPr>
        <w:pStyle w:val="45"/>
        <w:spacing w:line="560" w:lineRule="exact"/>
        <w:ind w:firstLine="590" w:firstLineChars="196"/>
        <w:rPr>
          <w:rFonts w:ascii="Times New Roman"/>
          <w:b/>
          <w:sz w:val="30"/>
          <w:szCs w:val="30"/>
        </w:rPr>
      </w:pPr>
      <w:bookmarkStart w:id="53" w:name="_Toc493777266"/>
      <w:r>
        <w:rPr>
          <w:rFonts w:ascii="Times New Roman"/>
          <w:b/>
          <w:sz w:val="30"/>
          <w:szCs w:val="30"/>
        </w:rPr>
        <w:t>1</w:t>
      </w:r>
      <w:r>
        <w:rPr>
          <w:rFonts w:hint="eastAsia" w:ascii="Times New Roman"/>
          <w:b/>
          <w:sz w:val="30"/>
          <w:szCs w:val="30"/>
        </w:rPr>
        <w:t>．</w:t>
      </w:r>
      <w:r>
        <w:rPr>
          <w:rFonts w:ascii="Times New Roman"/>
          <w:b/>
          <w:sz w:val="30"/>
          <w:szCs w:val="30"/>
        </w:rPr>
        <w:t>企业岗位需求情况</w:t>
      </w:r>
      <w:bookmarkEnd w:id="53"/>
    </w:p>
    <w:p>
      <w:pPr>
        <w:spacing w:line="560" w:lineRule="exact"/>
        <w:ind w:firstLine="600" w:firstLineChars="200"/>
        <w:rPr>
          <w:sz w:val="30"/>
          <w:szCs w:val="30"/>
        </w:rPr>
      </w:pPr>
      <w:r>
        <w:rPr>
          <w:sz w:val="30"/>
          <w:szCs w:val="30"/>
        </w:rPr>
        <w:t>通过实地访谈调研，对典型企业进行深度访谈，选择连锁行业中的典型零售业态（大卖场、标超、便利店、百货、专卖店、专业店）、餐饮、酒店等8家企业进行实地走访验证，对其基层操作岗位及基层管理岗位的工作内容进行分析，得到企业目前的岗位人才需求情况。</w:t>
      </w:r>
    </w:p>
    <w:p>
      <w:pPr>
        <w:spacing w:line="288" w:lineRule="auto"/>
        <w:jc w:val="center"/>
        <w:rPr>
          <w:b/>
          <w:color w:val="000000" w:themeColor="text1"/>
          <w:sz w:val="24"/>
          <w:szCs w:val="24"/>
          <w14:textFill>
            <w14:solidFill>
              <w14:schemeClr w14:val="tx1"/>
            </w14:solidFill>
          </w14:textFill>
        </w:rPr>
      </w:pPr>
      <w:r>
        <w:rPr>
          <w:sz w:val="28"/>
          <w:szCs w:val="30"/>
        </w:rPr>
        <w:drawing>
          <wp:inline distT="0" distB="0" distL="0" distR="0">
            <wp:extent cx="4348480" cy="2370455"/>
            <wp:effectExtent l="0" t="0" r="0" b="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spacing w:line="560" w:lineRule="exact"/>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图5-1 企业岗位需求情况调查表</w:t>
      </w:r>
    </w:p>
    <w:p>
      <w:pPr>
        <w:pStyle w:val="45"/>
        <w:spacing w:line="560" w:lineRule="exact"/>
        <w:ind w:firstLine="590" w:firstLineChars="196"/>
        <w:rPr>
          <w:rFonts w:ascii="Times New Roman"/>
          <w:b/>
          <w:sz w:val="30"/>
          <w:szCs w:val="30"/>
        </w:rPr>
      </w:pPr>
      <w:bookmarkStart w:id="54" w:name="_Toc493777267"/>
      <w:r>
        <w:rPr>
          <w:rFonts w:ascii="Times New Roman"/>
          <w:b/>
          <w:sz w:val="30"/>
          <w:szCs w:val="30"/>
        </w:rPr>
        <w:t>2</w:t>
      </w:r>
      <w:r>
        <w:rPr>
          <w:rFonts w:hint="eastAsia" w:ascii="Times New Roman"/>
          <w:b/>
          <w:sz w:val="30"/>
          <w:szCs w:val="30"/>
        </w:rPr>
        <w:t>．</w:t>
      </w:r>
      <w:r>
        <w:rPr>
          <w:rFonts w:ascii="Times New Roman"/>
          <w:b/>
          <w:sz w:val="30"/>
          <w:szCs w:val="30"/>
        </w:rPr>
        <w:t>企业</w:t>
      </w:r>
      <w:bookmarkStart w:id="55" w:name="_Hlk488581973"/>
      <w:r>
        <w:rPr>
          <w:rFonts w:ascii="Times New Roman"/>
          <w:b/>
          <w:sz w:val="30"/>
          <w:szCs w:val="30"/>
        </w:rPr>
        <w:t>聘用人才关注的因素</w:t>
      </w:r>
      <w:bookmarkEnd w:id="54"/>
      <w:bookmarkEnd w:id="55"/>
    </w:p>
    <w:p>
      <w:pPr>
        <w:spacing w:line="560" w:lineRule="exact"/>
        <w:ind w:firstLine="600"/>
        <w:rPr>
          <w:sz w:val="30"/>
          <w:szCs w:val="30"/>
        </w:rPr>
      </w:pPr>
      <w:r>
        <w:rPr>
          <w:sz w:val="30"/>
          <w:szCs w:val="30"/>
        </w:rPr>
        <w:t>企业聘用人才最关注的因素是沟通能力，其次是职业道德，团队意识、职业态度和专业知识，职业资格证书并非企业招聘人才时重视的因素。</w:t>
      </w:r>
    </w:p>
    <w:p>
      <w:r>
        <w:drawing>
          <wp:inline distT="0" distB="0" distL="0" distR="0">
            <wp:extent cx="4890770" cy="2423795"/>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spacing w:line="560" w:lineRule="exact"/>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图5-2 企业聘用人才关注的因</w:t>
      </w:r>
      <w:r>
        <w:rPr>
          <w:rFonts w:hint="eastAsia"/>
          <w:b/>
          <w:color w:val="000000" w:themeColor="text1"/>
          <w:sz w:val="24"/>
          <w:szCs w:val="24"/>
          <w14:textFill>
            <w14:solidFill>
              <w14:schemeClr w14:val="tx1"/>
            </w14:solidFill>
          </w14:textFill>
        </w:rPr>
        <w:t>素</w:t>
      </w:r>
    </w:p>
    <w:p>
      <w:pPr>
        <w:pStyle w:val="45"/>
        <w:spacing w:line="560" w:lineRule="exact"/>
        <w:ind w:firstLine="590" w:firstLineChars="196"/>
        <w:rPr>
          <w:rFonts w:ascii="Times New Roman"/>
          <w:b/>
          <w:sz w:val="30"/>
          <w:szCs w:val="30"/>
        </w:rPr>
      </w:pPr>
      <w:bookmarkStart w:id="56" w:name="_Hlk488586311"/>
      <w:bookmarkStart w:id="57" w:name="_Toc493777268"/>
      <w:r>
        <w:rPr>
          <w:rFonts w:ascii="Times New Roman"/>
          <w:b/>
          <w:sz w:val="30"/>
          <w:szCs w:val="30"/>
        </w:rPr>
        <w:t>3</w:t>
      </w:r>
      <w:r>
        <w:rPr>
          <w:rFonts w:hint="eastAsia" w:ascii="Times New Roman"/>
          <w:b/>
          <w:sz w:val="30"/>
          <w:szCs w:val="30"/>
        </w:rPr>
        <w:t>．</w:t>
      </w:r>
      <w:r>
        <w:rPr>
          <w:rFonts w:ascii="Times New Roman"/>
          <w:b/>
          <w:sz w:val="30"/>
          <w:szCs w:val="30"/>
        </w:rPr>
        <w:t>企业认为连锁经营管理专业毕业生的不足之处</w:t>
      </w:r>
      <w:bookmarkEnd w:id="56"/>
      <w:bookmarkEnd w:id="57"/>
    </w:p>
    <w:p>
      <w:pPr>
        <w:spacing w:line="560" w:lineRule="exact"/>
        <w:ind w:firstLine="600" w:firstLineChars="200"/>
        <w:rPr>
          <w:sz w:val="30"/>
          <w:szCs w:val="30"/>
        </w:rPr>
      </w:pPr>
      <w:r>
        <w:rPr>
          <w:sz w:val="30"/>
          <w:szCs w:val="30"/>
        </w:rPr>
        <w:t>企业认为当前连锁经营管理专业毕业生主要的不足之处是：数据分析能力差、与客户沟通能力弱、情绪控制与心理抗压能力不足、缺乏创新能力、动手能力差、团队合作能力差、互联网思维与新媒体技术应用能力不够等。</w:t>
      </w:r>
    </w:p>
    <w:p>
      <w:pPr>
        <w:spacing w:line="560" w:lineRule="exact"/>
        <w:jc w:val="center"/>
        <w:rPr>
          <w:b/>
          <w:sz w:val="24"/>
          <w:szCs w:val="24"/>
        </w:rPr>
      </w:pPr>
      <w:r>
        <w:rPr>
          <w:b/>
          <w:sz w:val="24"/>
          <w:szCs w:val="24"/>
        </w:rPr>
        <w:drawing>
          <wp:anchor distT="0" distB="0" distL="114300" distR="114300" simplePos="0" relativeHeight="251658240" behindDoc="0" locked="0" layoutInCell="1" allowOverlap="1">
            <wp:simplePos x="0" y="0"/>
            <wp:positionH relativeFrom="column">
              <wp:posOffset>-90805</wp:posOffset>
            </wp:positionH>
            <wp:positionV relativeFrom="paragraph">
              <wp:posOffset>148590</wp:posOffset>
            </wp:positionV>
            <wp:extent cx="4784090" cy="2743200"/>
            <wp:effectExtent l="0" t="0" r="0" b="0"/>
            <wp:wrapTopAndBottom/>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Pr>
          <w:b/>
          <w:sz w:val="24"/>
          <w:szCs w:val="24"/>
        </w:rPr>
        <w:t>图5-3 企业认为毕业生的不足之处</w:t>
      </w:r>
    </w:p>
    <w:p>
      <w:pPr>
        <w:pStyle w:val="45"/>
        <w:spacing w:line="560" w:lineRule="exact"/>
        <w:ind w:firstLine="590" w:firstLineChars="196"/>
        <w:rPr>
          <w:rFonts w:ascii="Times New Roman"/>
          <w:b/>
          <w:sz w:val="30"/>
          <w:szCs w:val="30"/>
        </w:rPr>
      </w:pPr>
      <w:bookmarkStart w:id="58" w:name="_Toc493777269"/>
      <w:r>
        <w:rPr>
          <w:rFonts w:ascii="Times New Roman"/>
          <w:b/>
          <w:sz w:val="30"/>
          <w:szCs w:val="30"/>
        </w:rPr>
        <w:t>4</w:t>
      </w:r>
      <w:r>
        <w:rPr>
          <w:rFonts w:hint="eastAsia" w:ascii="Times New Roman"/>
          <w:b/>
          <w:sz w:val="30"/>
          <w:szCs w:val="30"/>
        </w:rPr>
        <w:t>．</w:t>
      </w:r>
      <w:r>
        <w:rPr>
          <w:rFonts w:ascii="Times New Roman"/>
          <w:b/>
          <w:sz w:val="30"/>
          <w:szCs w:val="30"/>
        </w:rPr>
        <w:t>典型职业活动及工作任务</w:t>
      </w:r>
      <w:bookmarkEnd w:id="52"/>
      <w:bookmarkEnd w:id="58"/>
    </w:p>
    <w:p>
      <w:pPr>
        <w:spacing w:line="560" w:lineRule="exact"/>
        <w:ind w:firstLine="600" w:firstLineChars="200"/>
        <w:rPr>
          <w:b/>
          <w:color w:val="000000" w:themeColor="text1"/>
          <w:sz w:val="30"/>
          <w:szCs w:val="30"/>
          <w14:textFill>
            <w14:solidFill>
              <w14:schemeClr w14:val="tx1"/>
            </w14:solidFill>
          </w14:textFill>
        </w:rPr>
      </w:pPr>
      <w:r>
        <w:rPr>
          <w:sz w:val="30"/>
          <w:szCs w:val="30"/>
        </w:rPr>
        <w:t>通过实地访谈调研，对典型企业进行深度访谈，选择连锁行业中的典型零售业态（大卖场、标超、便利店、百货、专卖店、专业店）、餐饮、酒店等8家企业进行实地走访验证，总结提炼出连锁经营营运相关岗位的典型工作任务，包括：</w:t>
      </w:r>
    </w:p>
    <w:p>
      <w:pPr>
        <w:spacing w:line="560" w:lineRule="exact"/>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表5-1 典型职业活动工作任务分析表</w:t>
      </w:r>
    </w:p>
    <w:tbl>
      <w:tblPr>
        <w:tblStyle w:val="23"/>
        <w:tblW w:w="94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023"/>
        <w:gridCol w:w="1132"/>
        <w:gridCol w:w="1132"/>
        <w:gridCol w:w="1132"/>
        <w:gridCol w:w="1132"/>
        <w:gridCol w:w="1132"/>
        <w:gridCol w:w="1256"/>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0" w:type="dxa"/>
            <w:gridSpan w:val="2"/>
            <w:vMerge w:val="restart"/>
            <w:tcMar>
              <w:left w:w="57" w:type="dxa"/>
              <w:right w:w="57" w:type="dxa"/>
            </w:tcMar>
            <w:vAlign w:val="center"/>
          </w:tcPr>
          <w:p>
            <w:pPr>
              <w:jc w:val="center"/>
              <w:rPr>
                <w:b/>
                <w:color w:val="000000" w:themeColor="text1"/>
                <w:sz w:val="21"/>
                <w:szCs w:val="21"/>
                <w14:textFill>
                  <w14:solidFill>
                    <w14:schemeClr w14:val="tx1"/>
                  </w14:solidFill>
                </w14:textFill>
              </w:rPr>
            </w:pPr>
            <w:r>
              <w:rPr>
                <w:b/>
                <w:color w:val="000000" w:themeColor="text1"/>
                <w:sz w:val="21"/>
                <w:szCs w:val="21"/>
                <w14:textFill>
                  <w14:solidFill>
                    <w14:schemeClr w14:val="tx1"/>
                  </w14:solidFill>
                </w14:textFill>
              </w:rPr>
              <w:t>典型职业活动</w:t>
            </w:r>
          </w:p>
        </w:tc>
        <w:tc>
          <w:tcPr>
            <w:tcW w:w="8049" w:type="dxa"/>
            <w:gridSpan w:val="7"/>
            <w:tcMar>
              <w:left w:w="57" w:type="dxa"/>
              <w:right w:w="57" w:type="dxa"/>
            </w:tcMar>
          </w:tcPr>
          <w:p>
            <w:pPr>
              <w:jc w:val="center"/>
              <w:rPr>
                <w:b/>
                <w:color w:val="000000" w:themeColor="text1"/>
                <w:sz w:val="21"/>
                <w:szCs w:val="21"/>
                <w14:textFill>
                  <w14:solidFill>
                    <w14:schemeClr w14:val="tx1"/>
                  </w14:solidFill>
                </w14:textFill>
              </w:rPr>
            </w:pPr>
            <w:r>
              <w:rPr>
                <w:b/>
                <w:color w:val="000000" w:themeColor="text1"/>
                <w:sz w:val="21"/>
                <w:szCs w:val="21"/>
                <w14:textFill>
                  <w14:solidFill>
                    <w14:schemeClr w14:val="tx1"/>
                  </w14:solidFill>
                </w14:textFill>
              </w:rPr>
              <w:t>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0" w:type="dxa"/>
            <w:gridSpan w:val="2"/>
            <w:vMerge w:val="continue"/>
            <w:tcMar>
              <w:left w:w="57" w:type="dxa"/>
              <w:right w:w="57" w:type="dxa"/>
            </w:tcMar>
            <w:vAlign w:val="center"/>
          </w:tcPr>
          <w:p>
            <w:pPr>
              <w:jc w:val="center"/>
              <w:rPr>
                <w:b/>
                <w:sz w:val="21"/>
                <w:szCs w:val="21"/>
              </w:rPr>
            </w:pPr>
          </w:p>
        </w:tc>
        <w:tc>
          <w:tcPr>
            <w:tcW w:w="1132" w:type="dxa"/>
            <w:tcMar>
              <w:left w:w="57" w:type="dxa"/>
              <w:right w:w="57" w:type="dxa"/>
            </w:tcMar>
            <w:vAlign w:val="center"/>
          </w:tcPr>
          <w:p>
            <w:pPr>
              <w:jc w:val="center"/>
              <w:rPr>
                <w:b/>
                <w:sz w:val="21"/>
                <w:szCs w:val="21"/>
              </w:rPr>
            </w:pPr>
            <w:r>
              <w:rPr>
                <w:b/>
                <w:sz w:val="21"/>
                <w:szCs w:val="21"/>
              </w:rPr>
              <w:t>1</w:t>
            </w:r>
          </w:p>
        </w:tc>
        <w:tc>
          <w:tcPr>
            <w:tcW w:w="1132" w:type="dxa"/>
            <w:tcMar>
              <w:left w:w="57" w:type="dxa"/>
              <w:right w:w="57" w:type="dxa"/>
            </w:tcMar>
            <w:vAlign w:val="center"/>
          </w:tcPr>
          <w:p>
            <w:pPr>
              <w:jc w:val="center"/>
              <w:rPr>
                <w:b/>
                <w:sz w:val="21"/>
                <w:szCs w:val="21"/>
              </w:rPr>
            </w:pPr>
            <w:r>
              <w:rPr>
                <w:b/>
                <w:sz w:val="21"/>
                <w:szCs w:val="21"/>
              </w:rPr>
              <w:t>2</w:t>
            </w:r>
          </w:p>
        </w:tc>
        <w:tc>
          <w:tcPr>
            <w:tcW w:w="1132" w:type="dxa"/>
            <w:tcMar>
              <w:left w:w="57" w:type="dxa"/>
              <w:right w:w="57" w:type="dxa"/>
            </w:tcMar>
            <w:vAlign w:val="center"/>
          </w:tcPr>
          <w:p>
            <w:pPr>
              <w:jc w:val="center"/>
              <w:rPr>
                <w:b/>
                <w:sz w:val="21"/>
                <w:szCs w:val="21"/>
              </w:rPr>
            </w:pPr>
            <w:r>
              <w:rPr>
                <w:b/>
                <w:sz w:val="21"/>
                <w:szCs w:val="21"/>
              </w:rPr>
              <w:t>3</w:t>
            </w:r>
          </w:p>
        </w:tc>
        <w:tc>
          <w:tcPr>
            <w:tcW w:w="1132" w:type="dxa"/>
            <w:tcMar>
              <w:left w:w="57" w:type="dxa"/>
              <w:right w:w="57" w:type="dxa"/>
            </w:tcMar>
            <w:vAlign w:val="center"/>
          </w:tcPr>
          <w:p>
            <w:pPr>
              <w:jc w:val="center"/>
              <w:rPr>
                <w:b/>
                <w:sz w:val="21"/>
                <w:szCs w:val="21"/>
              </w:rPr>
            </w:pPr>
            <w:r>
              <w:rPr>
                <w:b/>
                <w:sz w:val="21"/>
                <w:szCs w:val="21"/>
              </w:rPr>
              <w:t>4</w:t>
            </w:r>
          </w:p>
        </w:tc>
        <w:tc>
          <w:tcPr>
            <w:tcW w:w="1132" w:type="dxa"/>
            <w:tcMar>
              <w:left w:w="57" w:type="dxa"/>
              <w:right w:w="57" w:type="dxa"/>
            </w:tcMar>
            <w:vAlign w:val="center"/>
          </w:tcPr>
          <w:p>
            <w:pPr>
              <w:jc w:val="center"/>
              <w:rPr>
                <w:b/>
                <w:sz w:val="21"/>
                <w:szCs w:val="21"/>
              </w:rPr>
            </w:pPr>
            <w:r>
              <w:rPr>
                <w:b/>
                <w:sz w:val="21"/>
                <w:szCs w:val="21"/>
              </w:rPr>
              <w:t>5</w:t>
            </w:r>
          </w:p>
        </w:tc>
        <w:tc>
          <w:tcPr>
            <w:tcW w:w="1256" w:type="dxa"/>
            <w:tcMar>
              <w:left w:w="57" w:type="dxa"/>
              <w:right w:w="57" w:type="dxa"/>
            </w:tcMar>
            <w:vAlign w:val="center"/>
          </w:tcPr>
          <w:p>
            <w:pPr>
              <w:jc w:val="center"/>
              <w:rPr>
                <w:b/>
                <w:sz w:val="21"/>
                <w:szCs w:val="21"/>
              </w:rPr>
            </w:pPr>
            <w:r>
              <w:rPr>
                <w:b/>
                <w:sz w:val="21"/>
                <w:szCs w:val="21"/>
              </w:rPr>
              <w:t>6</w:t>
            </w:r>
          </w:p>
        </w:tc>
        <w:tc>
          <w:tcPr>
            <w:tcW w:w="1133" w:type="dxa"/>
            <w:tcMar>
              <w:left w:w="57" w:type="dxa"/>
              <w:right w:w="57" w:type="dxa"/>
            </w:tcMar>
          </w:tcPr>
          <w:p>
            <w:pPr>
              <w:jc w:val="center"/>
              <w:rPr>
                <w:b/>
                <w:sz w:val="21"/>
                <w:szCs w:val="21"/>
              </w:rPr>
            </w:pPr>
            <w:r>
              <w:rPr>
                <w:b/>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57" w:type="dxa"/>
            <w:tcMar>
              <w:left w:w="57" w:type="dxa"/>
              <w:right w:w="57" w:type="dxa"/>
            </w:tcMar>
            <w:vAlign w:val="center"/>
          </w:tcPr>
          <w:p>
            <w:pPr>
              <w:jc w:val="center"/>
              <w:rPr>
                <w:b/>
                <w:sz w:val="21"/>
                <w:szCs w:val="21"/>
              </w:rPr>
            </w:pPr>
            <w:r>
              <w:rPr>
                <w:b/>
                <w:sz w:val="21"/>
                <w:szCs w:val="21"/>
              </w:rPr>
              <w:t>A</w:t>
            </w:r>
          </w:p>
        </w:tc>
        <w:tc>
          <w:tcPr>
            <w:tcW w:w="1023" w:type="dxa"/>
            <w:tcMar>
              <w:left w:w="57" w:type="dxa"/>
              <w:right w:w="57" w:type="dxa"/>
            </w:tcMar>
            <w:vAlign w:val="center"/>
          </w:tcPr>
          <w:p>
            <w:pPr>
              <w:jc w:val="center"/>
              <w:rPr>
                <w:sz w:val="21"/>
                <w:szCs w:val="21"/>
              </w:rPr>
            </w:pPr>
            <w:r>
              <w:rPr>
                <w:sz w:val="21"/>
                <w:szCs w:val="21"/>
              </w:rPr>
              <w:t>制定连锁经营总方案</w:t>
            </w:r>
          </w:p>
        </w:tc>
        <w:tc>
          <w:tcPr>
            <w:tcW w:w="1132" w:type="dxa"/>
            <w:tcMar>
              <w:left w:w="57" w:type="dxa"/>
              <w:right w:w="57" w:type="dxa"/>
            </w:tcMar>
            <w:vAlign w:val="center"/>
          </w:tcPr>
          <w:p>
            <w:pPr>
              <w:jc w:val="center"/>
              <w:rPr>
                <w:kern w:val="0"/>
                <w:sz w:val="21"/>
                <w:szCs w:val="21"/>
              </w:rPr>
            </w:pPr>
            <w:r>
              <w:rPr>
                <w:kern w:val="0"/>
                <w:sz w:val="21"/>
                <w:szCs w:val="21"/>
              </w:rPr>
              <w:t>商业项目可行性分析</w:t>
            </w:r>
          </w:p>
        </w:tc>
        <w:tc>
          <w:tcPr>
            <w:tcW w:w="1132" w:type="dxa"/>
            <w:tcMar>
              <w:left w:w="57" w:type="dxa"/>
              <w:right w:w="57" w:type="dxa"/>
            </w:tcMar>
            <w:vAlign w:val="center"/>
          </w:tcPr>
          <w:p>
            <w:pPr>
              <w:jc w:val="center"/>
              <w:rPr>
                <w:kern w:val="0"/>
                <w:sz w:val="21"/>
                <w:szCs w:val="21"/>
              </w:rPr>
            </w:pPr>
            <w:r>
              <w:rPr>
                <w:kern w:val="0"/>
                <w:sz w:val="21"/>
                <w:szCs w:val="21"/>
              </w:rPr>
              <w:t>连锁经营模式选择</w:t>
            </w:r>
          </w:p>
        </w:tc>
        <w:tc>
          <w:tcPr>
            <w:tcW w:w="1132" w:type="dxa"/>
            <w:tcMar>
              <w:left w:w="57" w:type="dxa"/>
              <w:right w:w="57" w:type="dxa"/>
            </w:tcMar>
            <w:vAlign w:val="center"/>
          </w:tcPr>
          <w:p>
            <w:pPr>
              <w:jc w:val="center"/>
              <w:rPr>
                <w:kern w:val="0"/>
                <w:sz w:val="21"/>
                <w:szCs w:val="21"/>
              </w:rPr>
            </w:pPr>
            <w:r>
              <w:rPr>
                <w:kern w:val="0"/>
                <w:sz w:val="21"/>
                <w:szCs w:val="21"/>
              </w:rPr>
              <w:t>制定单店运营流程及标准</w:t>
            </w:r>
          </w:p>
        </w:tc>
        <w:tc>
          <w:tcPr>
            <w:tcW w:w="1132" w:type="dxa"/>
            <w:tcMar>
              <w:left w:w="57" w:type="dxa"/>
              <w:right w:w="57" w:type="dxa"/>
            </w:tcMar>
            <w:vAlign w:val="center"/>
          </w:tcPr>
          <w:p>
            <w:pPr>
              <w:jc w:val="center"/>
              <w:rPr>
                <w:kern w:val="0"/>
                <w:sz w:val="21"/>
                <w:szCs w:val="21"/>
              </w:rPr>
            </w:pPr>
            <w:r>
              <w:rPr>
                <w:kern w:val="0"/>
                <w:sz w:val="21"/>
                <w:szCs w:val="21"/>
              </w:rPr>
              <w:t>制定加盟条件和拓展方案</w:t>
            </w:r>
          </w:p>
        </w:tc>
        <w:tc>
          <w:tcPr>
            <w:tcW w:w="1132" w:type="dxa"/>
            <w:tcMar>
              <w:left w:w="57" w:type="dxa"/>
              <w:right w:w="57" w:type="dxa"/>
            </w:tcMar>
            <w:vAlign w:val="center"/>
          </w:tcPr>
          <w:p>
            <w:pPr>
              <w:jc w:val="center"/>
              <w:rPr>
                <w:kern w:val="0"/>
                <w:sz w:val="21"/>
                <w:szCs w:val="21"/>
              </w:rPr>
            </w:pPr>
            <w:r>
              <w:rPr>
                <w:kern w:val="0"/>
                <w:sz w:val="21"/>
                <w:szCs w:val="21"/>
              </w:rPr>
              <w:t>确定总部职能</w:t>
            </w:r>
          </w:p>
        </w:tc>
        <w:tc>
          <w:tcPr>
            <w:tcW w:w="1256" w:type="dxa"/>
            <w:tcMar>
              <w:left w:w="57" w:type="dxa"/>
              <w:right w:w="57" w:type="dxa"/>
            </w:tcMar>
            <w:vAlign w:val="center"/>
          </w:tcPr>
          <w:p>
            <w:pPr>
              <w:jc w:val="center"/>
              <w:rPr>
                <w:kern w:val="0"/>
                <w:sz w:val="21"/>
                <w:szCs w:val="21"/>
              </w:rPr>
            </w:pPr>
            <w:r>
              <w:rPr>
                <w:kern w:val="0"/>
                <w:sz w:val="21"/>
                <w:szCs w:val="21"/>
              </w:rPr>
              <w:t>确定质量管控和绩效考核方案</w:t>
            </w:r>
          </w:p>
        </w:tc>
        <w:tc>
          <w:tcPr>
            <w:tcW w:w="1133" w:type="dxa"/>
            <w:tcMar>
              <w:left w:w="57" w:type="dxa"/>
              <w:right w:w="57" w:type="dxa"/>
            </w:tcMar>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57" w:type="dxa"/>
            <w:tcMar>
              <w:left w:w="57" w:type="dxa"/>
              <w:right w:w="57" w:type="dxa"/>
            </w:tcMar>
            <w:vAlign w:val="center"/>
          </w:tcPr>
          <w:p>
            <w:pPr>
              <w:jc w:val="center"/>
              <w:rPr>
                <w:b/>
                <w:sz w:val="21"/>
                <w:szCs w:val="21"/>
              </w:rPr>
            </w:pPr>
            <w:r>
              <w:rPr>
                <w:b/>
                <w:sz w:val="21"/>
                <w:szCs w:val="21"/>
              </w:rPr>
              <w:t>B</w:t>
            </w:r>
          </w:p>
        </w:tc>
        <w:tc>
          <w:tcPr>
            <w:tcW w:w="1023" w:type="dxa"/>
            <w:tcMar>
              <w:left w:w="57" w:type="dxa"/>
              <w:right w:w="57" w:type="dxa"/>
            </w:tcMar>
            <w:vAlign w:val="center"/>
          </w:tcPr>
          <w:p>
            <w:pPr>
              <w:jc w:val="center"/>
              <w:rPr>
                <w:sz w:val="21"/>
                <w:szCs w:val="21"/>
              </w:rPr>
            </w:pPr>
            <w:r>
              <w:rPr>
                <w:sz w:val="21"/>
                <w:szCs w:val="21"/>
              </w:rPr>
              <w:t>选择并加盟连锁项目</w:t>
            </w:r>
          </w:p>
        </w:tc>
        <w:tc>
          <w:tcPr>
            <w:tcW w:w="1132" w:type="dxa"/>
            <w:tcMar>
              <w:left w:w="57" w:type="dxa"/>
              <w:right w:w="57" w:type="dxa"/>
            </w:tcMar>
            <w:vAlign w:val="center"/>
          </w:tcPr>
          <w:p>
            <w:pPr>
              <w:jc w:val="center"/>
              <w:rPr>
                <w:sz w:val="21"/>
                <w:szCs w:val="21"/>
              </w:rPr>
            </w:pPr>
            <w:r>
              <w:rPr>
                <w:sz w:val="21"/>
                <w:szCs w:val="21"/>
              </w:rPr>
              <w:t>选择加盟项目</w:t>
            </w:r>
          </w:p>
        </w:tc>
        <w:tc>
          <w:tcPr>
            <w:tcW w:w="1132" w:type="dxa"/>
            <w:tcMar>
              <w:left w:w="57" w:type="dxa"/>
              <w:right w:w="57" w:type="dxa"/>
            </w:tcMar>
            <w:vAlign w:val="center"/>
          </w:tcPr>
          <w:p>
            <w:pPr>
              <w:rPr>
                <w:sz w:val="21"/>
                <w:szCs w:val="21"/>
              </w:rPr>
            </w:pPr>
            <w:r>
              <w:rPr>
                <w:sz w:val="21"/>
                <w:szCs w:val="21"/>
              </w:rPr>
              <w:t>分析项目可行性</w:t>
            </w:r>
          </w:p>
        </w:tc>
        <w:tc>
          <w:tcPr>
            <w:tcW w:w="1132" w:type="dxa"/>
            <w:tcMar>
              <w:left w:w="57" w:type="dxa"/>
              <w:right w:w="57" w:type="dxa"/>
            </w:tcMar>
            <w:vAlign w:val="center"/>
          </w:tcPr>
          <w:p>
            <w:pPr>
              <w:jc w:val="center"/>
              <w:rPr>
                <w:sz w:val="21"/>
                <w:szCs w:val="21"/>
              </w:rPr>
            </w:pPr>
            <w:r>
              <w:rPr>
                <w:sz w:val="21"/>
                <w:szCs w:val="21"/>
              </w:rPr>
              <w:t>考察谈判</w:t>
            </w:r>
          </w:p>
        </w:tc>
        <w:tc>
          <w:tcPr>
            <w:tcW w:w="1132" w:type="dxa"/>
            <w:tcMar>
              <w:left w:w="57" w:type="dxa"/>
              <w:right w:w="57" w:type="dxa"/>
            </w:tcMar>
            <w:vAlign w:val="center"/>
          </w:tcPr>
          <w:p>
            <w:pPr>
              <w:jc w:val="center"/>
              <w:rPr>
                <w:sz w:val="21"/>
                <w:szCs w:val="21"/>
              </w:rPr>
            </w:pPr>
            <w:r>
              <w:rPr>
                <w:sz w:val="21"/>
                <w:szCs w:val="21"/>
              </w:rPr>
              <w:t>签订合同</w:t>
            </w:r>
          </w:p>
        </w:tc>
        <w:tc>
          <w:tcPr>
            <w:tcW w:w="1132" w:type="dxa"/>
            <w:tcMar>
              <w:left w:w="57" w:type="dxa"/>
              <w:right w:w="57" w:type="dxa"/>
            </w:tcMar>
            <w:vAlign w:val="center"/>
          </w:tcPr>
          <w:p>
            <w:pPr>
              <w:jc w:val="center"/>
              <w:rPr>
                <w:sz w:val="21"/>
                <w:szCs w:val="21"/>
              </w:rPr>
            </w:pPr>
            <w:r>
              <w:rPr>
                <w:sz w:val="21"/>
                <w:szCs w:val="21"/>
              </w:rPr>
              <w:t>选址装修</w:t>
            </w:r>
          </w:p>
        </w:tc>
        <w:tc>
          <w:tcPr>
            <w:tcW w:w="1256" w:type="dxa"/>
            <w:tcMar>
              <w:left w:w="57" w:type="dxa"/>
              <w:right w:w="57" w:type="dxa"/>
            </w:tcMar>
            <w:vAlign w:val="center"/>
          </w:tcPr>
          <w:p>
            <w:pPr>
              <w:jc w:val="center"/>
              <w:rPr>
                <w:sz w:val="21"/>
                <w:szCs w:val="21"/>
              </w:rPr>
            </w:pPr>
            <w:r>
              <w:rPr>
                <w:sz w:val="21"/>
                <w:szCs w:val="21"/>
              </w:rPr>
              <w:t>加盟店采购</w:t>
            </w:r>
          </w:p>
        </w:tc>
        <w:tc>
          <w:tcPr>
            <w:tcW w:w="1133" w:type="dxa"/>
            <w:tcMar>
              <w:left w:w="57" w:type="dxa"/>
              <w:right w:w="57" w:type="dxa"/>
            </w:tcMar>
            <w:vAlign w:val="center"/>
          </w:tcPr>
          <w:p>
            <w:pPr>
              <w:jc w:val="center"/>
              <w:rPr>
                <w:sz w:val="21"/>
                <w:szCs w:val="21"/>
              </w:rPr>
            </w:pPr>
            <w:r>
              <w:rPr>
                <w:sz w:val="21"/>
                <w:szCs w:val="21"/>
              </w:rPr>
              <w:t>加盟店经营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57" w:type="dxa"/>
            <w:tcMar>
              <w:left w:w="57" w:type="dxa"/>
              <w:right w:w="57" w:type="dxa"/>
            </w:tcMar>
            <w:vAlign w:val="center"/>
          </w:tcPr>
          <w:p>
            <w:pPr>
              <w:jc w:val="center"/>
              <w:rPr>
                <w:b/>
                <w:sz w:val="21"/>
                <w:szCs w:val="21"/>
              </w:rPr>
            </w:pPr>
            <w:r>
              <w:rPr>
                <w:b/>
                <w:sz w:val="21"/>
                <w:szCs w:val="21"/>
              </w:rPr>
              <w:t>C</w:t>
            </w:r>
          </w:p>
        </w:tc>
        <w:tc>
          <w:tcPr>
            <w:tcW w:w="1023" w:type="dxa"/>
            <w:tcMar>
              <w:left w:w="57" w:type="dxa"/>
              <w:right w:w="57" w:type="dxa"/>
            </w:tcMar>
            <w:vAlign w:val="center"/>
          </w:tcPr>
          <w:p>
            <w:pPr>
              <w:jc w:val="center"/>
              <w:rPr>
                <w:sz w:val="21"/>
                <w:szCs w:val="21"/>
              </w:rPr>
            </w:pPr>
            <w:r>
              <w:rPr>
                <w:kern w:val="0"/>
                <w:sz w:val="21"/>
                <w:szCs w:val="21"/>
              </w:rPr>
              <w:t>商圈分析及连锁店拓展</w:t>
            </w:r>
          </w:p>
        </w:tc>
        <w:tc>
          <w:tcPr>
            <w:tcW w:w="1132" w:type="dxa"/>
            <w:tcMar>
              <w:left w:w="57" w:type="dxa"/>
              <w:right w:w="57" w:type="dxa"/>
            </w:tcMar>
            <w:vAlign w:val="center"/>
          </w:tcPr>
          <w:p>
            <w:pPr>
              <w:jc w:val="center"/>
              <w:rPr>
                <w:sz w:val="21"/>
                <w:szCs w:val="21"/>
              </w:rPr>
            </w:pPr>
            <w:r>
              <w:rPr>
                <w:sz w:val="21"/>
                <w:szCs w:val="21"/>
              </w:rPr>
              <w:t>分析商圈及选址</w:t>
            </w:r>
          </w:p>
        </w:tc>
        <w:tc>
          <w:tcPr>
            <w:tcW w:w="1132" w:type="dxa"/>
            <w:tcMar>
              <w:left w:w="57" w:type="dxa"/>
              <w:right w:w="57" w:type="dxa"/>
            </w:tcMar>
            <w:vAlign w:val="center"/>
          </w:tcPr>
          <w:p>
            <w:pPr>
              <w:jc w:val="center"/>
              <w:rPr>
                <w:sz w:val="21"/>
                <w:szCs w:val="21"/>
              </w:rPr>
            </w:pPr>
            <w:r>
              <w:rPr>
                <w:sz w:val="21"/>
                <w:szCs w:val="21"/>
              </w:rPr>
              <w:t>分析门店开发可行性</w:t>
            </w:r>
          </w:p>
        </w:tc>
        <w:tc>
          <w:tcPr>
            <w:tcW w:w="1132" w:type="dxa"/>
            <w:tcMar>
              <w:left w:w="57" w:type="dxa"/>
              <w:right w:w="57" w:type="dxa"/>
            </w:tcMar>
            <w:vAlign w:val="center"/>
          </w:tcPr>
          <w:p>
            <w:pPr>
              <w:jc w:val="center"/>
              <w:rPr>
                <w:sz w:val="21"/>
                <w:szCs w:val="21"/>
              </w:rPr>
            </w:pPr>
            <w:r>
              <w:rPr>
                <w:sz w:val="21"/>
                <w:szCs w:val="21"/>
              </w:rPr>
              <w:t>确定连锁店CIS系统</w:t>
            </w:r>
          </w:p>
        </w:tc>
        <w:tc>
          <w:tcPr>
            <w:tcW w:w="1132" w:type="dxa"/>
            <w:tcMar>
              <w:left w:w="57" w:type="dxa"/>
              <w:right w:w="57" w:type="dxa"/>
            </w:tcMar>
            <w:vAlign w:val="center"/>
          </w:tcPr>
          <w:p>
            <w:pPr>
              <w:jc w:val="center"/>
              <w:rPr>
                <w:sz w:val="21"/>
                <w:szCs w:val="21"/>
              </w:rPr>
            </w:pPr>
            <w:r>
              <w:rPr>
                <w:sz w:val="21"/>
                <w:szCs w:val="21"/>
              </w:rPr>
              <w:t>设计连锁店布局与陈列</w:t>
            </w:r>
          </w:p>
        </w:tc>
        <w:tc>
          <w:tcPr>
            <w:tcW w:w="1132" w:type="dxa"/>
            <w:tcMar>
              <w:left w:w="57" w:type="dxa"/>
              <w:right w:w="57" w:type="dxa"/>
            </w:tcMar>
            <w:vAlign w:val="center"/>
          </w:tcPr>
          <w:p>
            <w:pPr>
              <w:jc w:val="center"/>
              <w:rPr>
                <w:sz w:val="21"/>
                <w:szCs w:val="21"/>
              </w:rPr>
            </w:pPr>
            <w:r>
              <w:rPr>
                <w:sz w:val="21"/>
                <w:szCs w:val="21"/>
              </w:rPr>
              <w:t>制定连锁店经营标准</w:t>
            </w:r>
          </w:p>
        </w:tc>
        <w:tc>
          <w:tcPr>
            <w:tcW w:w="1256" w:type="dxa"/>
            <w:tcMar>
              <w:left w:w="57" w:type="dxa"/>
              <w:right w:w="57" w:type="dxa"/>
            </w:tcMar>
            <w:vAlign w:val="center"/>
          </w:tcPr>
          <w:p>
            <w:pPr>
              <w:jc w:val="center"/>
              <w:rPr>
                <w:sz w:val="21"/>
                <w:szCs w:val="21"/>
              </w:rPr>
            </w:pPr>
            <w:r>
              <w:rPr>
                <w:sz w:val="21"/>
                <w:szCs w:val="21"/>
              </w:rPr>
              <w:t>确定连锁店推广方案</w:t>
            </w:r>
          </w:p>
        </w:tc>
        <w:tc>
          <w:tcPr>
            <w:tcW w:w="1133" w:type="dxa"/>
            <w:tcMar>
              <w:left w:w="57" w:type="dxa"/>
              <w:right w:w="57" w:type="dxa"/>
            </w:tcMar>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57" w:type="dxa"/>
            <w:tcMar>
              <w:left w:w="57" w:type="dxa"/>
              <w:right w:w="57" w:type="dxa"/>
            </w:tcMar>
            <w:vAlign w:val="center"/>
          </w:tcPr>
          <w:p>
            <w:pPr>
              <w:jc w:val="center"/>
              <w:rPr>
                <w:b/>
                <w:sz w:val="21"/>
                <w:szCs w:val="21"/>
              </w:rPr>
            </w:pPr>
            <w:r>
              <w:rPr>
                <w:b/>
                <w:sz w:val="21"/>
                <w:szCs w:val="21"/>
              </w:rPr>
              <w:t>D</w:t>
            </w:r>
          </w:p>
        </w:tc>
        <w:tc>
          <w:tcPr>
            <w:tcW w:w="1023" w:type="dxa"/>
            <w:tcMar>
              <w:left w:w="57" w:type="dxa"/>
              <w:right w:w="57" w:type="dxa"/>
            </w:tcMar>
            <w:vAlign w:val="center"/>
          </w:tcPr>
          <w:p>
            <w:pPr>
              <w:jc w:val="center"/>
              <w:rPr>
                <w:sz w:val="21"/>
                <w:szCs w:val="21"/>
              </w:rPr>
            </w:pPr>
            <w:r>
              <w:rPr>
                <w:sz w:val="21"/>
                <w:szCs w:val="21"/>
              </w:rPr>
              <w:t>连锁运营管理</w:t>
            </w:r>
          </w:p>
        </w:tc>
        <w:tc>
          <w:tcPr>
            <w:tcW w:w="1132" w:type="dxa"/>
            <w:tcMar>
              <w:left w:w="57" w:type="dxa"/>
              <w:right w:w="57" w:type="dxa"/>
            </w:tcMar>
            <w:vAlign w:val="center"/>
          </w:tcPr>
          <w:p>
            <w:pPr>
              <w:jc w:val="center"/>
              <w:rPr>
                <w:sz w:val="21"/>
                <w:szCs w:val="21"/>
              </w:rPr>
            </w:pPr>
            <w:r>
              <w:rPr>
                <w:sz w:val="21"/>
                <w:szCs w:val="21"/>
              </w:rPr>
              <w:t>设计门店业务流程</w:t>
            </w:r>
          </w:p>
        </w:tc>
        <w:tc>
          <w:tcPr>
            <w:tcW w:w="1132" w:type="dxa"/>
            <w:tcMar>
              <w:left w:w="57" w:type="dxa"/>
              <w:right w:w="57" w:type="dxa"/>
            </w:tcMar>
            <w:vAlign w:val="center"/>
          </w:tcPr>
          <w:p>
            <w:pPr>
              <w:jc w:val="center"/>
              <w:rPr>
                <w:sz w:val="21"/>
                <w:szCs w:val="21"/>
              </w:rPr>
            </w:pPr>
            <w:r>
              <w:rPr>
                <w:sz w:val="21"/>
                <w:szCs w:val="21"/>
              </w:rPr>
              <w:t>选择商品品类</w:t>
            </w:r>
          </w:p>
        </w:tc>
        <w:tc>
          <w:tcPr>
            <w:tcW w:w="1132" w:type="dxa"/>
            <w:tcMar>
              <w:left w:w="57" w:type="dxa"/>
              <w:right w:w="57" w:type="dxa"/>
            </w:tcMar>
            <w:vAlign w:val="center"/>
          </w:tcPr>
          <w:p>
            <w:pPr>
              <w:jc w:val="center"/>
              <w:rPr>
                <w:sz w:val="21"/>
                <w:szCs w:val="21"/>
              </w:rPr>
            </w:pPr>
            <w:r>
              <w:rPr>
                <w:sz w:val="21"/>
                <w:szCs w:val="21"/>
              </w:rPr>
              <w:t>设计服务标准</w:t>
            </w:r>
          </w:p>
        </w:tc>
        <w:tc>
          <w:tcPr>
            <w:tcW w:w="1132" w:type="dxa"/>
            <w:tcMar>
              <w:left w:w="57" w:type="dxa"/>
              <w:right w:w="57" w:type="dxa"/>
            </w:tcMar>
            <w:vAlign w:val="center"/>
          </w:tcPr>
          <w:p>
            <w:pPr>
              <w:jc w:val="center"/>
              <w:rPr>
                <w:sz w:val="21"/>
                <w:szCs w:val="21"/>
              </w:rPr>
            </w:pPr>
            <w:r>
              <w:rPr>
                <w:sz w:val="21"/>
                <w:szCs w:val="21"/>
              </w:rPr>
              <w:t>策划销售活动</w:t>
            </w:r>
          </w:p>
        </w:tc>
        <w:tc>
          <w:tcPr>
            <w:tcW w:w="1132" w:type="dxa"/>
            <w:tcMar>
              <w:left w:w="57" w:type="dxa"/>
              <w:right w:w="57" w:type="dxa"/>
            </w:tcMar>
            <w:vAlign w:val="center"/>
          </w:tcPr>
          <w:p>
            <w:pPr>
              <w:jc w:val="center"/>
              <w:rPr>
                <w:sz w:val="21"/>
                <w:szCs w:val="21"/>
              </w:rPr>
            </w:pPr>
            <w:r>
              <w:rPr>
                <w:sz w:val="21"/>
                <w:szCs w:val="21"/>
              </w:rPr>
              <w:t>制定采购计划</w:t>
            </w:r>
          </w:p>
        </w:tc>
        <w:tc>
          <w:tcPr>
            <w:tcW w:w="1256" w:type="dxa"/>
            <w:tcMar>
              <w:left w:w="57" w:type="dxa"/>
              <w:right w:w="57" w:type="dxa"/>
            </w:tcMar>
            <w:vAlign w:val="center"/>
          </w:tcPr>
          <w:p>
            <w:pPr>
              <w:jc w:val="center"/>
              <w:rPr>
                <w:sz w:val="21"/>
                <w:szCs w:val="21"/>
              </w:rPr>
            </w:pPr>
            <w:r>
              <w:rPr>
                <w:sz w:val="21"/>
                <w:szCs w:val="21"/>
              </w:rPr>
              <w:t>管理库存</w:t>
            </w:r>
          </w:p>
        </w:tc>
        <w:tc>
          <w:tcPr>
            <w:tcW w:w="1133" w:type="dxa"/>
            <w:tcMar>
              <w:left w:w="57" w:type="dxa"/>
              <w:right w:w="57" w:type="dxa"/>
            </w:tcMar>
            <w:vAlign w:val="center"/>
          </w:tcPr>
          <w:p>
            <w:pPr>
              <w:jc w:val="center"/>
              <w:rPr>
                <w:sz w:val="21"/>
                <w:szCs w:val="21"/>
              </w:rPr>
            </w:pPr>
            <w:r>
              <w:rPr>
                <w:sz w:val="21"/>
                <w:szCs w:val="21"/>
              </w:rPr>
              <w:t>分析与提升业绩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57" w:type="dxa"/>
            <w:tcMar>
              <w:left w:w="57" w:type="dxa"/>
              <w:right w:w="57" w:type="dxa"/>
            </w:tcMar>
            <w:vAlign w:val="center"/>
          </w:tcPr>
          <w:p>
            <w:pPr>
              <w:jc w:val="center"/>
              <w:rPr>
                <w:b/>
                <w:sz w:val="21"/>
                <w:szCs w:val="21"/>
              </w:rPr>
            </w:pPr>
            <w:r>
              <w:rPr>
                <w:b/>
                <w:sz w:val="21"/>
                <w:szCs w:val="21"/>
              </w:rPr>
              <w:t>E</w:t>
            </w:r>
          </w:p>
        </w:tc>
        <w:tc>
          <w:tcPr>
            <w:tcW w:w="1023" w:type="dxa"/>
            <w:tcMar>
              <w:left w:w="57" w:type="dxa"/>
              <w:right w:w="57" w:type="dxa"/>
            </w:tcMar>
            <w:vAlign w:val="center"/>
          </w:tcPr>
          <w:p>
            <w:pPr>
              <w:jc w:val="center"/>
              <w:rPr>
                <w:sz w:val="21"/>
                <w:szCs w:val="21"/>
              </w:rPr>
            </w:pPr>
            <w:r>
              <w:rPr>
                <w:kern w:val="0"/>
                <w:sz w:val="21"/>
                <w:szCs w:val="21"/>
              </w:rPr>
              <w:t>督导巡查及安全防损</w:t>
            </w:r>
          </w:p>
        </w:tc>
        <w:tc>
          <w:tcPr>
            <w:tcW w:w="1132" w:type="dxa"/>
            <w:tcMar>
              <w:left w:w="57" w:type="dxa"/>
              <w:right w:w="57" w:type="dxa"/>
            </w:tcMar>
            <w:vAlign w:val="center"/>
          </w:tcPr>
          <w:p>
            <w:pPr>
              <w:jc w:val="center"/>
              <w:rPr>
                <w:sz w:val="21"/>
                <w:szCs w:val="21"/>
              </w:rPr>
            </w:pPr>
            <w:r>
              <w:rPr>
                <w:sz w:val="21"/>
                <w:szCs w:val="21"/>
              </w:rPr>
              <w:t>分析经营数据</w:t>
            </w:r>
          </w:p>
        </w:tc>
        <w:tc>
          <w:tcPr>
            <w:tcW w:w="1132" w:type="dxa"/>
            <w:tcMar>
              <w:left w:w="57" w:type="dxa"/>
              <w:right w:w="57" w:type="dxa"/>
            </w:tcMar>
            <w:vAlign w:val="center"/>
          </w:tcPr>
          <w:p>
            <w:pPr>
              <w:jc w:val="center"/>
              <w:rPr>
                <w:sz w:val="21"/>
                <w:szCs w:val="21"/>
              </w:rPr>
            </w:pPr>
            <w:r>
              <w:rPr>
                <w:sz w:val="21"/>
                <w:szCs w:val="21"/>
              </w:rPr>
              <w:t>检查日常营运工作</w:t>
            </w:r>
          </w:p>
        </w:tc>
        <w:tc>
          <w:tcPr>
            <w:tcW w:w="1132" w:type="dxa"/>
            <w:tcMar>
              <w:left w:w="57" w:type="dxa"/>
              <w:right w:w="57" w:type="dxa"/>
            </w:tcMar>
            <w:vAlign w:val="center"/>
          </w:tcPr>
          <w:p>
            <w:pPr>
              <w:jc w:val="center"/>
              <w:rPr>
                <w:sz w:val="21"/>
                <w:szCs w:val="21"/>
              </w:rPr>
            </w:pPr>
            <w:r>
              <w:rPr>
                <w:sz w:val="21"/>
                <w:szCs w:val="21"/>
              </w:rPr>
              <w:t>检查库存</w:t>
            </w:r>
          </w:p>
        </w:tc>
        <w:tc>
          <w:tcPr>
            <w:tcW w:w="1132" w:type="dxa"/>
            <w:tcMar>
              <w:left w:w="57" w:type="dxa"/>
              <w:right w:w="57" w:type="dxa"/>
            </w:tcMar>
            <w:vAlign w:val="center"/>
          </w:tcPr>
          <w:p>
            <w:pPr>
              <w:jc w:val="center"/>
              <w:rPr>
                <w:sz w:val="21"/>
                <w:szCs w:val="21"/>
              </w:rPr>
            </w:pPr>
            <w:r>
              <w:rPr>
                <w:sz w:val="21"/>
                <w:szCs w:val="21"/>
              </w:rPr>
              <w:t>分析销售效果</w:t>
            </w:r>
          </w:p>
        </w:tc>
        <w:tc>
          <w:tcPr>
            <w:tcW w:w="1132" w:type="dxa"/>
            <w:tcMar>
              <w:left w:w="57" w:type="dxa"/>
              <w:right w:w="57" w:type="dxa"/>
            </w:tcMar>
            <w:vAlign w:val="center"/>
          </w:tcPr>
          <w:p>
            <w:pPr>
              <w:jc w:val="center"/>
              <w:rPr>
                <w:sz w:val="21"/>
                <w:szCs w:val="21"/>
              </w:rPr>
            </w:pPr>
            <w:r>
              <w:rPr>
                <w:sz w:val="21"/>
                <w:szCs w:val="21"/>
              </w:rPr>
              <w:t>跟踪服务质量</w:t>
            </w:r>
          </w:p>
        </w:tc>
        <w:tc>
          <w:tcPr>
            <w:tcW w:w="1256" w:type="dxa"/>
            <w:tcMar>
              <w:left w:w="57" w:type="dxa"/>
              <w:right w:w="57" w:type="dxa"/>
            </w:tcMar>
          </w:tcPr>
          <w:p>
            <w:pPr>
              <w:jc w:val="center"/>
              <w:rPr>
                <w:sz w:val="21"/>
                <w:szCs w:val="21"/>
              </w:rPr>
            </w:pPr>
            <w:r>
              <w:rPr>
                <w:sz w:val="21"/>
                <w:szCs w:val="21"/>
              </w:rPr>
              <w:t>监控安全与防损</w:t>
            </w:r>
          </w:p>
        </w:tc>
        <w:tc>
          <w:tcPr>
            <w:tcW w:w="1133" w:type="dxa"/>
            <w:tcMar>
              <w:left w:w="57" w:type="dxa"/>
              <w:right w:w="57" w:type="dxa"/>
            </w:tcMar>
          </w:tcPr>
          <w:p>
            <w:pPr>
              <w:jc w:val="center"/>
              <w:rPr>
                <w:sz w:val="21"/>
                <w:szCs w:val="21"/>
              </w:rPr>
            </w:pPr>
          </w:p>
        </w:tc>
      </w:tr>
    </w:tbl>
    <w:p>
      <w:pPr>
        <w:pStyle w:val="45"/>
        <w:ind w:firstLine="590" w:firstLineChars="196"/>
        <w:rPr>
          <w:rFonts w:ascii="Times New Roman"/>
          <w:b/>
          <w:sz w:val="30"/>
          <w:szCs w:val="30"/>
        </w:rPr>
      </w:pPr>
      <w:bookmarkStart w:id="59" w:name="_Toc492851732"/>
      <w:bookmarkStart w:id="60" w:name="_Toc493777270"/>
      <w:r>
        <w:rPr>
          <w:rFonts w:ascii="Times New Roman"/>
          <w:b/>
          <w:sz w:val="30"/>
          <w:szCs w:val="30"/>
        </w:rPr>
        <w:t>5</w:t>
      </w:r>
      <w:r>
        <w:rPr>
          <w:rFonts w:hint="eastAsia" w:ascii="Times New Roman"/>
          <w:b/>
          <w:sz w:val="30"/>
          <w:szCs w:val="30"/>
        </w:rPr>
        <w:t>．</w:t>
      </w:r>
      <w:r>
        <w:rPr>
          <w:rFonts w:ascii="Times New Roman"/>
          <w:b/>
          <w:sz w:val="30"/>
          <w:szCs w:val="30"/>
        </w:rPr>
        <w:t>企业与学校合作的意愿</w:t>
      </w:r>
    </w:p>
    <w:p>
      <w:pPr>
        <w:spacing w:line="560" w:lineRule="exact"/>
        <w:ind w:firstLine="600" w:firstLineChars="200"/>
        <w:rPr>
          <w:sz w:val="30"/>
          <w:szCs w:val="30"/>
        </w:rPr>
      </w:pPr>
      <w:r>
        <w:rPr>
          <w:sz w:val="30"/>
          <w:szCs w:val="30"/>
        </w:rPr>
        <w:t>调研显示，82%的企业都愿意与学校进行校企联合培养，越来越多的企业把校园招聘及校企合作育人作为企业未来人才补充的主要渠道。</w:t>
      </w:r>
    </w:p>
    <w:p>
      <w:pPr>
        <w:pStyle w:val="29"/>
        <w:snapToGrid w:val="0"/>
        <w:spacing w:line="560" w:lineRule="atLeast"/>
        <w:ind w:firstLine="640"/>
        <w:rPr>
          <w:sz w:val="30"/>
          <w:szCs w:val="30"/>
        </w:rPr>
      </w:pPr>
      <w:r>
        <w:drawing>
          <wp:inline distT="0" distB="0" distL="0" distR="0">
            <wp:extent cx="4400550" cy="2476500"/>
            <wp:effectExtent l="0" t="0" r="0" b="0"/>
            <wp:docPr id="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0"/>
                    <pic:cNvPicPr>
                      <a:picLocks noChangeAspect="1" noChangeArrowheads="1"/>
                    </pic:cNvPicPr>
                  </pic:nvPicPr>
                  <pic:blipFill>
                    <a:blip r:embed="rId25" cstate="print">
                      <a:extLst>
                        <a:ext uri="{28A0092B-C50C-407E-A947-70E740481C1C}">
                          <a14:useLocalDpi xmlns:a14="http://schemas.microsoft.com/office/drawing/2010/main" val="0"/>
                        </a:ext>
                      </a:extLst>
                    </a:blip>
                    <a:srcRect l="19125" r="14375"/>
                    <a:stretch>
                      <a:fillRect/>
                    </a:stretch>
                  </pic:blipFill>
                  <pic:spPr>
                    <a:xfrm>
                      <a:off x="0" y="0"/>
                      <a:ext cx="4400550" cy="2476500"/>
                    </a:xfrm>
                    <a:prstGeom prst="rect">
                      <a:avLst/>
                    </a:prstGeom>
                    <a:noFill/>
                    <a:ln>
                      <a:noFill/>
                    </a:ln>
                  </pic:spPr>
                </pic:pic>
              </a:graphicData>
            </a:graphic>
          </wp:inline>
        </w:drawing>
      </w:r>
    </w:p>
    <w:p>
      <w:pPr>
        <w:spacing w:line="560" w:lineRule="exact"/>
        <w:jc w:val="center"/>
        <w:rPr>
          <w:b/>
          <w:sz w:val="24"/>
          <w:szCs w:val="24"/>
        </w:rPr>
      </w:pPr>
      <w:r>
        <w:rPr>
          <w:b/>
          <w:sz w:val="24"/>
          <w:szCs w:val="24"/>
        </w:rPr>
        <w:t>图5-4 企业对校企联合培养意愿度</w:t>
      </w:r>
    </w:p>
    <w:p>
      <w:pPr>
        <w:pStyle w:val="31"/>
        <w:numPr>
          <w:ilvl w:val="0"/>
          <w:numId w:val="0"/>
        </w:numPr>
        <w:spacing w:line="560" w:lineRule="exact"/>
        <w:ind w:firstLine="590" w:firstLineChars="196"/>
        <w:outlineLvl w:val="1"/>
        <w:rPr>
          <w:rFonts w:eastAsia="仿宋_GB2312"/>
          <w:szCs w:val="30"/>
        </w:rPr>
      </w:pPr>
      <w:bookmarkStart w:id="61" w:name="_Toc494016492"/>
      <w:r>
        <w:rPr>
          <w:rFonts w:eastAsia="仿宋_GB2312"/>
          <w:szCs w:val="30"/>
        </w:rPr>
        <w:t>（四）专业人才需要的知识、素质、能力</w:t>
      </w:r>
      <w:bookmarkEnd w:id="59"/>
      <w:bookmarkEnd w:id="60"/>
      <w:bookmarkEnd w:id="61"/>
    </w:p>
    <w:p>
      <w:pPr>
        <w:spacing w:line="560" w:lineRule="exact"/>
        <w:ind w:firstLine="600" w:firstLineChars="200"/>
        <w:rPr>
          <w:b/>
          <w:sz w:val="30"/>
          <w:szCs w:val="30"/>
        </w:rPr>
      </w:pPr>
      <w:r>
        <w:rPr>
          <w:sz w:val="30"/>
          <w:szCs w:val="30"/>
        </w:rPr>
        <w:t>在对典型职业活动及工作任务进行解析后，经院校教师与企业专家的共同研讨，总结出毕业生完成上述典型活动所需要的知识、素质和能力，具体内容如下：</w:t>
      </w:r>
    </w:p>
    <w:p>
      <w:pPr>
        <w:spacing w:line="560" w:lineRule="exact"/>
        <w:ind w:firstLine="602" w:firstLineChars="200"/>
        <w:rPr>
          <w:b/>
          <w:sz w:val="30"/>
          <w:szCs w:val="30"/>
        </w:rPr>
      </w:pPr>
      <w:r>
        <w:rPr>
          <w:rFonts w:hint="eastAsia"/>
          <w:b/>
          <w:sz w:val="30"/>
          <w:szCs w:val="30"/>
        </w:rPr>
        <w:t>1.</w:t>
      </w:r>
      <w:r>
        <w:rPr>
          <w:b/>
          <w:sz w:val="30"/>
          <w:szCs w:val="30"/>
        </w:rPr>
        <w:t>知识</w:t>
      </w:r>
    </w:p>
    <w:p>
      <w:pPr>
        <w:pStyle w:val="53"/>
        <w:numPr>
          <w:ilvl w:val="0"/>
          <w:numId w:val="4"/>
        </w:numPr>
        <w:spacing w:line="500" w:lineRule="exact"/>
        <w:ind w:firstLineChars="0"/>
        <w:rPr>
          <w:sz w:val="30"/>
          <w:szCs w:val="30"/>
        </w:rPr>
      </w:pPr>
      <w:r>
        <w:rPr>
          <w:sz w:val="30"/>
          <w:szCs w:val="30"/>
        </w:rPr>
        <w:t>掌握必备的思想政治理论、科学文化基础知识和中华优秀传统文化知识；</w:t>
      </w:r>
    </w:p>
    <w:p>
      <w:pPr>
        <w:pStyle w:val="53"/>
        <w:numPr>
          <w:ilvl w:val="0"/>
          <w:numId w:val="4"/>
        </w:numPr>
        <w:spacing w:line="500" w:lineRule="exact"/>
        <w:ind w:firstLineChars="0"/>
        <w:rPr>
          <w:sz w:val="30"/>
          <w:szCs w:val="30"/>
        </w:rPr>
      </w:pPr>
      <w:r>
        <w:rPr>
          <w:sz w:val="30"/>
          <w:szCs w:val="30"/>
        </w:rPr>
        <w:t>熟悉与</w:t>
      </w:r>
      <w:r>
        <w:rPr>
          <w:rFonts w:hint="eastAsia"/>
          <w:sz w:val="30"/>
          <w:szCs w:val="30"/>
        </w:rPr>
        <w:t>商</w:t>
      </w:r>
      <w:r>
        <w:rPr>
          <w:sz w:val="30"/>
          <w:szCs w:val="30"/>
        </w:rPr>
        <w:t>业相关的法律法规以及环境保护、安全消防、支付与安全等相关知识；</w:t>
      </w:r>
    </w:p>
    <w:p>
      <w:pPr>
        <w:pStyle w:val="53"/>
        <w:numPr>
          <w:ilvl w:val="0"/>
          <w:numId w:val="4"/>
        </w:numPr>
        <w:spacing w:line="500" w:lineRule="exact"/>
        <w:ind w:firstLineChars="0"/>
        <w:rPr>
          <w:sz w:val="30"/>
          <w:szCs w:val="30"/>
        </w:rPr>
      </w:pPr>
      <w:r>
        <w:rPr>
          <w:rFonts w:hint="eastAsia"/>
          <w:sz w:val="30"/>
          <w:szCs w:val="30"/>
        </w:rPr>
        <w:t>掌握连锁经营体系的基本构成和主要推广与管控的相关</w:t>
      </w:r>
      <w:r>
        <w:rPr>
          <w:sz w:val="30"/>
          <w:szCs w:val="30"/>
        </w:rPr>
        <w:t>知识</w:t>
      </w:r>
      <w:r>
        <w:rPr>
          <w:rFonts w:hint="eastAsia"/>
          <w:sz w:val="30"/>
          <w:szCs w:val="30"/>
        </w:rPr>
        <w:t>；</w:t>
      </w:r>
    </w:p>
    <w:p>
      <w:pPr>
        <w:pStyle w:val="53"/>
        <w:numPr>
          <w:ilvl w:val="0"/>
          <w:numId w:val="4"/>
        </w:numPr>
        <w:spacing w:line="500" w:lineRule="exact"/>
        <w:ind w:firstLineChars="0"/>
        <w:rPr>
          <w:sz w:val="30"/>
          <w:szCs w:val="30"/>
        </w:rPr>
      </w:pPr>
      <w:r>
        <w:rPr>
          <w:rFonts w:hint="eastAsia"/>
          <w:sz w:val="30"/>
          <w:szCs w:val="30"/>
        </w:rPr>
        <w:t>掌握连锁门店营运管理的主要工作内容、</w:t>
      </w:r>
      <w:r>
        <w:rPr>
          <w:sz w:val="30"/>
          <w:szCs w:val="30"/>
        </w:rPr>
        <w:t>工作流程</w:t>
      </w:r>
      <w:r>
        <w:rPr>
          <w:rFonts w:hint="eastAsia"/>
          <w:sz w:val="30"/>
          <w:szCs w:val="30"/>
        </w:rPr>
        <w:t>等相关</w:t>
      </w:r>
      <w:r>
        <w:rPr>
          <w:sz w:val="30"/>
          <w:szCs w:val="30"/>
        </w:rPr>
        <w:t>知识</w:t>
      </w:r>
      <w:r>
        <w:rPr>
          <w:rFonts w:hint="eastAsia"/>
          <w:sz w:val="30"/>
          <w:szCs w:val="30"/>
        </w:rPr>
        <w:t>；</w:t>
      </w:r>
    </w:p>
    <w:p>
      <w:pPr>
        <w:pStyle w:val="53"/>
        <w:numPr>
          <w:ilvl w:val="0"/>
          <w:numId w:val="4"/>
        </w:numPr>
        <w:spacing w:line="500" w:lineRule="exact"/>
        <w:ind w:firstLineChars="0"/>
        <w:rPr>
          <w:sz w:val="30"/>
          <w:szCs w:val="30"/>
        </w:rPr>
      </w:pPr>
      <w:r>
        <w:rPr>
          <w:rFonts w:hint="eastAsia"/>
          <w:sz w:val="30"/>
          <w:szCs w:val="30"/>
        </w:rPr>
        <w:t>掌握市场分析</w:t>
      </w:r>
      <w:r>
        <w:rPr>
          <w:sz w:val="30"/>
          <w:szCs w:val="30"/>
        </w:rPr>
        <w:t>与</w:t>
      </w:r>
      <w:r>
        <w:rPr>
          <w:rFonts w:hint="eastAsia"/>
          <w:sz w:val="30"/>
          <w:szCs w:val="30"/>
        </w:rPr>
        <w:t>经营诊断及业绩提升的相关</w:t>
      </w:r>
      <w:r>
        <w:rPr>
          <w:sz w:val="30"/>
          <w:szCs w:val="30"/>
        </w:rPr>
        <w:t>知识</w:t>
      </w:r>
      <w:r>
        <w:rPr>
          <w:rFonts w:hint="eastAsia"/>
          <w:sz w:val="30"/>
          <w:szCs w:val="30"/>
        </w:rPr>
        <w:t>；</w:t>
      </w:r>
    </w:p>
    <w:p>
      <w:pPr>
        <w:pStyle w:val="53"/>
        <w:numPr>
          <w:ilvl w:val="0"/>
          <w:numId w:val="4"/>
        </w:numPr>
        <w:spacing w:line="500" w:lineRule="exact"/>
        <w:ind w:firstLineChars="0"/>
        <w:rPr>
          <w:sz w:val="30"/>
          <w:szCs w:val="30"/>
        </w:rPr>
      </w:pPr>
      <w:r>
        <w:rPr>
          <w:rFonts w:hint="eastAsia"/>
          <w:sz w:val="30"/>
          <w:szCs w:val="30"/>
        </w:rPr>
        <w:t>掌握供应链</w:t>
      </w:r>
      <w:r>
        <w:rPr>
          <w:sz w:val="30"/>
          <w:szCs w:val="30"/>
        </w:rPr>
        <w:t>管理尤其是</w:t>
      </w:r>
      <w:r>
        <w:rPr>
          <w:rFonts w:hint="eastAsia"/>
          <w:sz w:val="30"/>
          <w:szCs w:val="30"/>
        </w:rPr>
        <w:t>商品采购的相关</w:t>
      </w:r>
      <w:r>
        <w:rPr>
          <w:sz w:val="30"/>
          <w:szCs w:val="30"/>
        </w:rPr>
        <w:t>知识</w:t>
      </w:r>
      <w:r>
        <w:rPr>
          <w:rFonts w:hint="eastAsia"/>
          <w:sz w:val="30"/>
          <w:szCs w:val="30"/>
        </w:rPr>
        <w:t>；</w:t>
      </w:r>
    </w:p>
    <w:p>
      <w:pPr>
        <w:pStyle w:val="53"/>
        <w:numPr>
          <w:ilvl w:val="0"/>
          <w:numId w:val="4"/>
        </w:numPr>
        <w:spacing w:line="500" w:lineRule="exact"/>
        <w:ind w:firstLineChars="0"/>
        <w:rPr>
          <w:sz w:val="30"/>
          <w:szCs w:val="30"/>
        </w:rPr>
      </w:pPr>
      <w:r>
        <w:rPr>
          <w:rFonts w:hint="eastAsia"/>
          <w:sz w:val="30"/>
          <w:szCs w:val="30"/>
        </w:rPr>
        <w:t>掌握数字化时代连锁企业信息管理的主要工作内容和方法；</w:t>
      </w:r>
    </w:p>
    <w:p>
      <w:pPr>
        <w:pStyle w:val="53"/>
        <w:numPr>
          <w:ilvl w:val="0"/>
          <w:numId w:val="4"/>
        </w:numPr>
        <w:spacing w:line="500" w:lineRule="exact"/>
        <w:ind w:firstLineChars="0"/>
        <w:rPr>
          <w:sz w:val="30"/>
          <w:szCs w:val="30"/>
        </w:rPr>
      </w:pPr>
      <w:r>
        <w:rPr>
          <w:rFonts w:hint="eastAsia"/>
          <w:sz w:val="30"/>
          <w:szCs w:val="30"/>
        </w:rPr>
        <w:t>掌握连锁企业服务质量管理常用方法和工具。</w:t>
      </w:r>
    </w:p>
    <w:p>
      <w:pPr>
        <w:spacing w:line="500" w:lineRule="exact"/>
        <w:ind w:firstLine="602" w:firstLineChars="200"/>
        <w:rPr>
          <w:b/>
          <w:sz w:val="30"/>
          <w:szCs w:val="30"/>
        </w:rPr>
      </w:pPr>
      <w:r>
        <w:rPr>
          <w:rFonts w:hint="eastAsia"/>
          <w:b/>
          <w:sz w:val="30"/>
          <w:szCs w:val="30"/>
        </w:rPr>
        <w:t>2.</w:t>
      </w:r>
      <w:r>
        <w:rPr>
          <w:b/>
          <w:sz w:val="30"/>
          <w:szCs w:val="30"/>
        </w:rPr>
        <w:t>素质</w:t>
      </w:r>
    </w:p>
    <w:p>
      <w:pPr>
        <w:pStyle w:val="53"/>
        <w:numPr>
          <w:ilvl w:val="0"/>
          <w:numId w:val="5"/>
        </w:numPr>
        <w:spacing w:line="500" w:lineRule="exact"/>
        <w:ind w:firstLineChars="0"/>
        <w:rPr>
          <w:sz w:val="30"/>
          <w:szCs w:val="30"/>
        </w:rPr>
      </w:pPr>
      <w:r>
        <w:rPr>
          <w:sz w:val="30"/>
          <w:szCs w:val="30"/>
        </w:rPr>
        <w:t>坚定拥护中国共产党领导，在习近平新时代中国特色社会主义思想指引下，践行社会主义核心价值观，具有深厚的爱国情感和中华民族自豪感；</w:t>
      </w:r>
    </w:p>
    <w:p>
      <w:pPr>
        <w:pStyle w:val="53"/>
        <w:numPr>
          <w:ilvl w:val="0"/>
          <w:numId w:val="5"/>
        </w:numPr>
        <w:spacing w:line="500" w:lineRule="exact"/>
        <w:ind w:firstLineChars="0"/>
        <w:rPr>
          <w:sz w:val="30"/>
          <w:szCs w:val="30"/>
        </w:rPr>
      </w:pPr>
      <w:r>
        <w:rPr>
          <w:sz w:val="30"/>
          <w:szCs w:val="30"/>
        </w:rPr>
        <w:t>崇尚宪法、遵法守纪、崇德向善、诚实守信、尊重生命、热爱劳动，履行道德准则和行为规范，具有社会责任感和社会参与意识；</w:t>
      </w:r>
    </w:p>
    <w:p>
      <w:pPr>
        <w:pStyle w:val="53"/>
        <w:numPr>
          <w:ilvl w:val="0"/>
          <w:numId w:val="5"/>
        </w:numPr>
        <w:spacing w:line="500" w:lineRule="exact"/>
        <w:ind w:firstLineChars="0"/>
        <w:rPr>
          <w:sz w:val="30"/>
          <w:szCs w:val="30"/>
        </w:rPr>
      </w:pPr>
      <w:r>
        <w:rPr>
          <w:sz w:val="30"/>
          <w:szCs w:val="30"/>
        </w:rPr>
        <w:t>具有质量意识、环保意识、安全意识、信息素养、工匠精神、创新思维、全球视野和市场洞察力；</w:t>
      </w:r>
    </w:p>
    <w:p>
      <w:pPr>
        <w:pStyle w:val="53"/>
        <w:numPr>
          <w:ilvl w:val="0"/>
          <w:numId w:val="5"/>
        </w:numPr>
        <w:spacing w:line="500" w:lineRule="exact"/>
        <w:ind w:firstLineChars="0"/>
        <w:rPr>
          <w:sz w:val="30"/>
          <w:szCs w:val="30"/>
        </w:rPr>
      </w:pPr>
      <w:r>
        <w:rPr>
          <w:sz w:val="30"/>
          <w:szCs w:val="30"/>
        </w:rPr>
        <w:t>具有自我管理能力、职业生涯规划的意识，有较强的集体意识和团队合作精神；</w:t>
      </w:r>
    </w:p>
    <w:p>
      <w:pPr>
        <w:pStyle w:val="53"/>
        <w:numPr>
          <w:ilvl w:val="0"/>
          <w:numId w:val="5"/>
        </w:numPr>
        <w:spacing w:line="500" w:lineRule="exact"/>
        <w:ind w:firstLineChars="0"/>
        <w:rPr>
          <w:sz w:val="30"/>
          <w:szCs w:val="30"/>
        </w:rPr>
      </w:pPr>
      <w:r>
        <w:rPr>
          <w:sz w:val="30"/>
          <w:szCs w:val="30"/>
        </w:rPr>
        <w:t>具有健康的体魄、心理和健全的人格，掌握基本运动知识和一两项运动技能，养成良好的健身与卫生习惯，良好的行为习惯；</w:t>
      </w:r>
    </w:p>
    <w:p>
      <w:pPr>
        <w:pStyle w:val="53"/>
        <w:numPr>
          <w:ilvl w:val="0"/>
          <w:numId w:val="5"/>
        </w:numPr>
        <w:spacing w:line="500" w:lineRule="exact"/>
        <w:ind w:firstLineChars="0"/>
        <w:rPr>
          <w:sz w:val="30"/>
          <w:szCs w:val="30"/>
        </w:rPr>
      </w:pPr>
      <w:r>
        <w:rPr>
          <w:sz w:val="30"/>
          <w:szCs w:val="30"/>
        </w:rPr>
        <w:t>具有一定的审美和人文素养，能够形成一两项艺术特长或爱好。</w:t>
      </w:r>
    </w:p>
    <w:p>
      <w:pPr>
        <w:spacing w:line="500" w:lineRule="exact"/>
        <w:ind w:firstLine="602" w:firstLineChars="200"/>
        <w:rPr>
          <w:b/>
          <w:sz w:val="30"/>
          <w:szCs w:val="30"/>
        </w:rPr>
      </w:pPr>
      <w:r>
        <w:rPr>
          <w:rFonts w:hint="eastAsia"/>
          <w:b/>
          <w:sz w:val="30"/>
          <w:szCs w:val="30"/>
        </w:rPr>
        <w:t>3.</w:t>
      </w:r>
      <w:r>
        <w:rPr>
          <w:b/>
          <w:sz w:val="30"/>
          <w:szCs w:val="30"/>
        </w:rPr>
        <w:t>能力</w:t>
      </w:r>
    </w:p>
    <w:p>
      <w:pPr>
        <w:pStyle w:val="53"/>
        <w:numPr>
          <w:ilvl w:val="0"/>
          <w:numId w:val="6"/>
        </w:numPr>
        <w:spacing w:line="500" w:lineRule="exact"/>
        <w:ind w:firstLineChars="0"/>
        <w:rPr>
          <w:sz w:val="30"/>
          <w:szCs w:val="30"/>
        </w:rPr>
      </w:pPr>
      <w:bookmarkStart w:id="62" w:name="_Hlk503425435"/>
      <w:bookmarkStart w:id="63" w:name="_Toc492851734"/>
      <w:bookmarkStart w:id="64" w:name="_Toc493777272"/>
      <w:bookmarkStart w:id="65" w:name="_Toc494016493"/>
      <w:r>
        <w:rPr>
          <w:rFonts w:hint="eastAsia"/>
          <w:sz w:val="30"/>
          <w:szCs w:val="30"/>
        </w:rPr>
        <w:t>具有探究学习、终身学习、分析问题和解决问题的能力；</w:t>
      </w:r>
    </w:p>
    <w:p>
      <w:pPr>
        <w:pStyle w:val="53"/>
        <w:numPr>
          <w:ilvl w:val="0"/>
          <w:numId w:val="6"/>
        </w:numPr>
        <w:spacing w:line="500" w:lineRule="exact"/>
        <w:ind w:firstLineChars="0"/>
        <w:rPr>
          <w:sz w:val="30"/>
          <w:szCs w:val="30"/>
        </w:rPr>
      </w:pPr>
      <w:r>
        <w:rPr>
          <w:rFonts w:hint="eastAsia"/>
          <w:sz w:val="30"/>
          <w:szCs w:val="30"/>
        </w:rPr>
        <w:t>有良好的沟通表达能力、理解能力、执行力和团结协作能力；</w:t>
      </w:r>
    </w:p>
    <w:p>
      <w:pPr>
        <w:pStyle w:val="53"/>
        <w:numPr>
          <w:ilvl w:val="0"/>
          <w:numId w:val="6"/>
        </w:numPr>
        <w:spacing w:line="500" w:lineRule="exact"/>
        <w:ind w:firstLineChars="0"/>
        <w:rPr>
          <w:sz w:val="30"/>
          <w:szCs w:val="30"/>
        </w:rPr>
      </w:pPr>
      <w:r>
        <w:rPr>
          <w:rFonts w:hint="eastAsia"/>
          <w:sz w:val="30"/>
          <w:szCs w:val="30"/>
        </w:rPr>
        <w:t>能够实施连锁门店标准化营运流程并进行管理，控制营运成本、商品或服务质量，完成营运目标，上报营运数据；</w:t>
      </w:r>
    </w:p>
    <w:p>
      <w:pPr>
        <w:pStyle w:val="53"/>
        <w:numPr>
          <w:ilvl w:val="0"/>
          <w:numId w:val="6"/>
        </w:numPr>
        <w:spacing w:line="500" w:lineRule="exact"/>
        <w:ind w:firstLineChars="0"/>
        <w:rPr>
          <w:sz w:val="30"/>
          <w:szCs w:val="30"/>
        </w:rPr>
      </w:pPr>
      <w:r>
        <w:rPr>
          <w:rFonts w:hint="eastAsia"/>
          <w:sz w:val="30"/>
          <w:szCs w:val="30"/>
        </w:rPr>
        <w:t>能够进行</w:t>
      </w:r>
      <w:r>
        <w:rPr>
          <w:sz w:val="30"/>
          <w:szCs w:val="30"/>
        </w:rPr>
        <w:t>连锁</w:t>
      </w:r>
      <w:r>
        <w:rPr>
          <w:rFonts w:hint="eastAsia"/>
          <w:sz w:val="30"/>
          <w:szCs w:val="30"/>
        </w:rPr>
        <w:t>经营</w:t>
      </w:r>
      <w:r>
        <w:rPr>
          <w:sz w:val="30"/>
          <w:szCs w:val="30"/>
        </w:rPr>
        <w:t>体系的推广</w:t>
      </w:r>
      <w:r>
        <w:rPr>
          <w:rFonts w:hint="eastAsia"/>
          <w:sz w:val="30"/>
          <w:szCs w:val="30"/>
        </w:rPr>
        <w:t>，并根据总部规范对区域内门店运营进行监督</w:t>
      </w:r>
      <w:r>
        <w:rPr>
          <w:sz w:val="30"/>
          <w:szCs w:val="30"/>
        </w:rPr>
        <w:t>指导</w:t>
      </w:r>
      <w:r>
        <w:rPr>
          <w:rFonts w:hint="eastAsia"/>
          <w:sz w:val="30"/>
          <w:szCs w:val="30"/>
        </w:rPr>
        <w:t>；</w:t>
      </w:r>
    </w:p>
    <w:p>
      <w:pPr>
        <w:pStyle w:val="53"/>
        <w:numPr>
          <w:ilvl w:val="0"/>
          <w:numId w:val="6"/>
        </w:numPr>
        <w:spacing w:line="500" w:lineRule="exact"/>
        <w:ind w:firstLineChars="0"/>
        <w:rPr>
          <w:sz w:val="30"/>
          <w:szCs w:val="30"/>
        </w:rPr>
      </w:pPr>
      <w:r>
        <w:rPr>
          <w:rFonts w:hint="eastAsia"/>
          <w:sz w:val="30"/>
          <w:szCs w:val="30"/>
        </w:rPr>
        <w:t>能够实施商圈调研，完成新店选址和可行性分析，对新店定位和业务进行规划，</w:t>
      </w:r>
      <w:r>
        <w:rPr>
          <w:sz w:val="30"/>
          <w:szCs w:val="30"/>
        </w:rPr>
        <w:t>并制定新店筹备计划</w:t>
      </w:r>
      <w:r>
        <w:rPr>
          <w:rFonts w:hint="eastAsia"/>
          <w:sz w:val="30"/>
          <w:szCs w:val="30"/>
        </w:rPr>
        <w:t>；</w:t>
      </w:r>
    </w:p>
    <w:p>
      <w:pPr>
        <w:pStyle w:val="53"/>
        <w:numPr>
          <w:ilvl w:val="0"/>
          <w:numId w:val="6"/>
        </w:numPr>
        <w:spacing w:line="500" w:lineRule="exact"/>
        <w:ind w:firstLineChars="0"/>
        <w:rPr>
          <w:sz w:val="30"/>
          <w:szCs w:val="30"/>
        </w:rPr>
      </w:pPr>
      <w:r>
        <w:rPr>
          <w:rFonts w:hint="eastAsia"/>
          <w:sz w:val="30"/>
          <w:szCs w:val="30"/>
        </w:rPr>
        <w:t>能够进行</w:t>
      </w:r>
      <w:r>
        <w:rPr>
          <w:sz w:val="30"/>
          <w:szCs w:val="30"/>
        </w:rPr>
        <w:t>经营</w:t>
      </w:r>
      <w:r>
        <w:rPr>
          <w:rFonts w:hint="eastAsia"/>
          <w:sz w:val="30"/>
          <w:szCs w:val="30"/>
        </w:rPr>
        <w:t>现状</w:t>
      </w:r>
      <w:r>
        <w:rPr>
          <w:sz w:val="30"/>
          <w:szCs w:val="30"/>
        </w:rPr>
        <w:t>诊断，并结合</w:t>
      </w:r>
      <w:r>
        <w:rPr>
          <w:rFonts w:hint="eastAsia"/>
          <w:sz w:val="30"/>
          <w:szCs w:val="30"/>
        </w:rPr>
        <w:t>企业资源和经营目标提出系统性的业绩提升方案</w:t>
      </w:r>
      <w:r>
        <w:rPr>
          <w:sz w:val="30"/>
          <w:szCs w:val="30"/>
        </w:rPr>
        <w:t>；</w:t>
      </w:r>
    </w:p>
    <w:p>
      <w:pPr>
        <w:pStyle w:val="53"/>
        <w:numPr>
          <w:ilvl w:val="0"/>
          <w:numId w:val="6"/>
        </w:numPr>
        <w:spacing w:line="500" w:lineRule="exact"/>
        <w:ind w:firstLineChars="0"/>
        <w:rPr>
          <w:sz w:val="30"/>
          <w:szCs w:val="30"/>
        </w:rPr>
      </w:pPr>
      <w:r>
        <w:rPr>
          <w:rFonts w:hint="eastAsia"/>
          <w:sz w:val="30"/>
          <w:szCs w:val="30"/>
        </w:rPr>
        <w:t>能够有效收集、汇总、处理</w:t>
      </w:r>
      <w:r>
        <w:rPr>
          <w:sz w:val="30"/>
          <w:szCs w:val="30"/>
        </w:rPr>
        <w:t>、</w:t>
      </w:r>
      <w:r>
        <w:rPr>
          <w:rFonts w:hint="eastAsia"/>
          <w:sz w:val="30"/>
          <w:szCs w:val="30"/>
        </w:rPr>
        <w:t>分析、传输连锁经营业务数据和信息，并根据数据信息完成决策、考核等工作；</w:t>
      </w:r>
    </w:p>
    <w:p>
      <w:pPr>
        <w:pStyle w:val="53"/>
        <w:numPr>
          <w:ilvl w:val="0"/>
          <w:numId w:val="6"/>
        </w:numPr>
        <w:spacing w:line="500" w:lineRule="exact"/>
        <w:ind w:firstLineChars="0"/>
        <w:rPr>
          <w:sz w:val="30"/>
          <w:szCs w:val="30"/>
        </w:rPr>
      </w:pPr>
      <w:r>
        <w:rPr>
          <w:rFonts w:hint="eastAsia"/>
          <w:sz w:val="30"/>
          <w:szCs w:val="30"/>
        </w:rPr>
        <w:t>能够结合</w:t>
      </w:r>
      <w:r>
        <w:rPr>
          <w:sz w:val="30"/>
          <w:szCs w:val="30"/>
        </w:rPr>
        <w:t>经营业绩、商品特征、顾客习惯</w:t>
      </w:r>
      <w:r>
        <w:rPr>
          <w:rFonts w:hint="eastAsia"/>
          <w:sz w:val="30"/>
          <w:szCs w:val="30"/>
        </w:rPr>
        <w:t>等因素</w:t>
      </w:r>
      <w:r>
        <w:rPr>
          <w:sz w:val="30"/>
          <w:szCs w:val="30"/>
        </w:rPr>
        <w:t>进行门店的整体规划设计与视觉营销；</w:t>
      </w:r>
    </w:p>
    <w:p>
      <w:pPr>
        <w:pStyle w:val="53"/>
        <w:numPr>
          <w:ilvl w:val="0"/>
          <w:numId w:val="6"/>
        </w:numPr>
        <w:spacing w:line="500" w:lineRule="exact"/>
        <w:ind w:firstLineChars="0"/>
        <w:rPr>
          <w:sz w:val="30"/>
          <w:szCs w:val="30"/>
        </w:rPr>
      </w:pPr>
      <w:r>
        <w:rPr>
          <w:rFonts w:hint="eastAsia"/>
          <w:sz w:val="30"/>
          <w:szCs w:val="30"/>
        </w:rPr>
        <w:t>能够制定连锁采购计划，控制采购成本，实施合同管理和供应商管理，对采购绩效进行评价；</w:t>
      </w:r>
    </w:p>
    <w:p>
      <w:pPr>
        <w:pStyle w:val="53"/>
        <w:numPr>
          <w:ilvl w:val="0"/>
          <w:numId w:val="6"/>
        </w:numPr>
        <w:spacing w:line="500" w:lineRule="exact"/>
        <w:ind w:firstLineChars="0"/>
        <w:rPr>
          <w:sz w:val="30"/>
          <w:szCs w:val="30"/>
        </w:rPr>
      </w:pPr>
      <w:r>
        <w:rPr>
          <w:rFonts w:hint="eastAsia"/>
          <w:sz w:val="30"/>
          <w:szCs w:val="30"/>
        </w:rPr>
        <w:t>具备商业信息技术与工具应用能力，能够配合企业进行</w:t>
      </w:r>
      <w:r>
        <w:rPr>
          <w:sz w:val="30"/>
          <w:szCs w:val="30"/>
        </w:rPr>
        <w:t>线上线下</w:t>
      </w:r>
      <w:r>
        <w:rPr>
          <w:rFonts w:hint="eastAsia"/>
          <w:sz w:val="30"/>
          <w:szCs w:val="30"/>
        </w:rPr>
        <w:t>全渠道</w:t>
      </w:r>
      <w:r>
        <w:rPr>
          <w:sz w:val="30"/>
          <w:szCs w:val="30"/>
        </w:rPr>
        <w:t>运营和数字化改造</w:t>
      </w:r>
      <w:r>
        <w:rPr>
          <w:rFonts w:hint="eastAsia"/>
          <w:sz w:val="30"/>
          <w:szCs w:val="30"/>
        </w:rPr>
        <w:t>。</w:t>
      </w:r>
    </w:p>
    <w:bookmarkEnd w:id="62"/>
    <w:p>
      <w:pPr>
        <w:pStyle w:val="31"/>
        <w:numPr>
          <w:ilvl w:val="0"/>
          <w:numId w:val="0"/>
        </w:numPr>
        <w:spacing w:line="560" w:lineRule="exact"/>
        <w:ind w:firstLine="602" w:firstLineChars="200"/>
        <w:outlineLvl w:val="1"/>
        <w:rPr>
          <w:rFonts w:eastAsia="仿宋_GB2312"/>
          <w:szCs w:val="30"/>
        </w:rPr>
      </w:pPr>
      <w:r>
        <w:rPr>
          <w:rFonts w:eastAsia="仿宋_GB2312"/>
          <w:szCs w:val="30"/>
        </w:rPr>
        <w:t>（五）院校专业教学情况分析</w:t>
      </w:r>
      <w:bookmarkEnd w:id="63"/>
      <w:bookmarkEnd w:id="64"/>
      <w:bookmarkEnd w:id="65"/>
    </w:p>
    <w:p>
      <w:pPr>
        <w:spacing w:line="560" w:lineRule="exact"/>
        <w:ind w:firstLine="602" w:firstLineChars="200"/>
        <w:rPr>
          <w:b/>
          <w:sz w:val="30"/>
          <w:szCs w:val="30"/>
        </w:rPr>
      </w:pPr>
      <w:r>
        <w:rPr>
          <w:b/>
          <w:sz w:val="30"/>
          <w:szCs w:val="30"/>
        </w:rPr>
        <w:t>1</w:t>
      </w:r>
      <w:r>
        <w:rPr>
          <w:rFonts w:hint="eastAsia"/>
          <w:b/>
          <w:sz w:val="30"/>
          <w:szCs w:val="30"/>
        </w:rPr>
        <w:t>．</w:t>
      </w:r>
      <w:r>
        <w:rPr>
          <w:b/>
          <w:sz w:val="30"/>
          <w:szCs w:val="30"/>
        </w:rPr>
        <w:t>全国各地域专业开设情况</w:t>
      </w:r>
    </w:p>
    <w:p>
      <w:pPr>
        <w:spacing w:line="560" w:lineRule="exact"/>
        <w:ind w:firstLine="600" w:firstLineChars="200"/>
        <w:rPr>
          <w:sz w:val="30"/>
          <w:szCs w:val="30"/>
        </w:rPr>
      </w:pPr>
      <w:r>
        <w:rPr>
          <w:sz w:val="30"/>
          <w:szCs w:val="30"/>
        </w:rPr>
        <w:t>在全国1384所职</w:t>
      </w:r>
      <w:bookmarkStart w:id="90" w:name="_GoBack"/>
      <w:bookmarkEnd w:id="90"/>
      <w:r>
        <w:rPr>
          <w:sz w:val="30"/>
          <w:szCs w:val="30"/>
        </w:rPr>
        <w:t>业院校中，有384所院校开设了连锁经营管理（方向）专业，重点调研的25所院校分布在全国各地，地域覆盖广，详见下表：</w:t>
      </w:r>
    </w:p>
    <w:p>
      <w:pPr>
        <w:spacing w:line="560" w:lineRule="exact"/>
        <w:jc w:val="center"/>
        <w:rPr>
          <w:b/>
          <w:sz w:val="24"/>
          <w:szCs w:val="24"/>
        </w:rPr>
      </w:pPr>
      <w:r>
        <w:rPr>
          <w:b/>
          <w:sz w:val="24"/>
          <w:szCs w:val="24"/>
        </w:rPr>
        <w:t>表5-2 调研院校地域分布情况</w:t>
      </w:r>
    </w:p>
    <w:tbl>
      <w:tblPr>
        <w:tblStyle w:val="22"/>
        <w:tblW w:w="6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4395" w:type="dxa"/>
            <w:shd w:val="clear" w:color="auto" w:fill="auto"/>
            <w:vAlign w:val="center"/>
          </w:tcPr>
          <w:p>
            <w:pPr>
              <w:widowControl/>
              <w:jc w:val="center"/>
              <w:rPr>
                <w:b/>
                <w:bCs/>
                <w:color w:val="000000"/>
                <w:kern w:val="0"/>
                <w:sz w:val="24"/>
                <w:szCs w:val="24"/>
              </w:rPr>
            </w:pPr>
            <w:r>
              <w:rPr>
                <w:b/>
                <w:bCs/>
                <w:color w:val="000000"/>
                <w:kern w:val="0"/>
                <w:sz w:val="24"/>
                <w:szCs w:val="24"/>
              </w:rPr>
              <w:t>数据来源地区</w:t>
            </w:r>
          </w:p>
        </w:tc>
        <w:tc>
          <w:tcPr>
            <w:tcW w:w="2551" w:type="dxa"/>
            <w:shd w:val="clear" w:color="auto" w:fill="auto"/>
            <w:vAlign w:val="center"/>
          </w:tcPr>
          <w:p>
            <w:pPr>
              <w:widowControl/>
              <w:jc w:val="center"/>
              <w:rPr>
                <w:b/>
                <w:bCs/>
                <w:color w:val="000000"/>
                <w:kern w:val="0"/>
                <w:sz w:val="24"/>
                <w:szCs w:val="24"/>
              </w:rPr>
            </w:pPr>
            <w:r>
              <w:rPr>
                <w:b/>
                <w:bCs/>
                <w:color w:val="000000"/>
                <w:kern w:val="0"/>
                <w:sz w:val="24"/>
                <w:szCs w:val="24"/>
              </w:rPr>
              <w:t>调研数量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华北地区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华东地区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华南地区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华中地区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西南地区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东北地区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jc w:val="center"/>
        </w:trPr>
        <w:tc>
          <w:tcPr>
            <w:tcW w:w="4395"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西北地区</w:t>
            </w:r>
          </w:p>
        </w:tc>
        <w:tc>
          <w:tcPr>
            <w:tcW w:w="2551"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4395" w:type="dxa"/>
            <w:shd w:val="clear" w:color="auto" w:fill="auto"/>
            <w:vAlign w:val="center"/>
          </w:tcPr>
          <w:p>
            <w:pPr>
              <w:widowControl/>
              <w:jc w:val="center"/>
              <w:rPr>
                <w:b/>
                <w:bCs/>
                <w:color w:val="000000"/>
                <w:kern w:val="0"/>
                <w:sz w:val="24"/>
                <w:szCs w:val="24"/>
              </w:rPr>
            </w:pPr>
            <w:r>
              <w:rPr>
                <w:b/>
                <w:bCs/>
                <w:color w:val="000000"/>
                <w:kern w:val="0"/>
                <w:sz w:val="24"/>
                <w:szCs w:val="24"/>
              </w:rPr>
              <w:t>合计</w:t>
            </w:r>
          </w:p>
        </w:tc>
        <w:tc>
          <w:tcPr>
            <w:tcW w:w="2551" w:type="dxa"/>
            <w:shd w:val="clear" w:color="auto" w:fill="auto"/>
            <w:vAlign w:val="center"/>
          </w:tcPr>
          <w:p>
            <w:pPr>
              <w:widowControl/>
              <w:jc w:val="center"/>
              <w:rPr>
                <w:b/>
                <w:bCs/>
                <w:color w:val="000000"/>
                <w:kern w:val="0"/>
                <w:sz w:val="24"/>
                <w:szCs w:val="24"/>
              </w:rPr>
            </w:pPr>
            <w:r>
              <w:rPr>
                <w:b/>
                <w:bCs/>
                <w:color w:val="000000"/>
                <w:kern w:val="0"/>
                <w:sz w:val="24"/>
                <w:szCs w:val="24"/>
              </w:rPr>
              <w:t>25</w:t>
            </w:r>
          </w:p>
        </w:tc>
      </w:tr>
    </w:tbl>
    <w:p>
      <w:pPr>
        <w:spacing w:line="560" w:lineRule="exact"/>
        <w:ind w:firstLine="602" w:firstLineChars="200"/>
        <w:rPr>
          <w:b/>
          <w:sz w:val="30"/>
          <w:szCs w:val="30"/>
        </w:rPr>
      </w:pPr>
      <w:r>
        <w:rPr>
          <w:b/>
          <w:sz w:val="30"/>
          <w:szCs w:val="30"/>
        </w:rPr>
        <w:t>2</w:t>
      </w:r>
      <w:r>
        <w:rPr>
          <w:rFonts w:hint="eastAsia"/>
          <w:b/>
          <w:sz w:val="30"/>
          <w:szCs w:val="30"/>
        </w:rPr>
        <w:t>．</w:t>
      </w:r>
      <w:r>
        <w:rPr>
          <w:b/>
          <w:sz w:val="30"/>
          <w:szCs w:val="30"/>
        </w:rPr>
        <w:t>专业近三年招生情况</w:t>
      </w:r>
    </w:p>
    <w:p>
      <w:pPr>
        <w:spacing w:line="560" w:lineRule="exact"/>
        <w:ind w:firstLine="600" w:firstLineChars="200"/>
        <w:rPr>
          <w:sz w:val="30"/>
          <w:szCs w:val="30"/>
        </w:rPr>
      </w:pPr>
      <w:r>
        <w:rPr>
          <w:sz w:val="30"/>
          <w:szCs w:val="30"/>
        </w:rPr>
        <w:t>调研高职院校中连锁经营管理专业总体招生人数呈稳中上升趋势，近三年共招生</w:t>
      </w:r>
      <w:r>
        <w:rPr>
          <w:sz w:val="30"/>
          <w:szCs w:val="30"/>
        </w:rPr>
        <w:fldChar w:fldCharType="begin"/>
      </w:r>
      <w:r>
        <w:rPr>
          <w:sz w:val="30"/>
          <w:szCs w:val="30"/>
        </w:rPr>
        <w:instrText xml:space="preserve"> =SUM(ABOVE) </w:instrText>
      </w:r>
      <w:r>
        <w:rPr>
          <w:sz w:val="30"/>
          <w:szCs w:val="30"/>
        </w:rPr>
        <w:fldChar w:fldCharType="separate"/>
      </w:r>
      <w:r>
        <w:rPr>
          <w:sz w:val="30"/>
          <w:szCs w:val="30"/>
        </w:rPr>
        <w:t>7309</w:t>
      </w:r>
      <w:r>
        <w:rPr>
          <w:sz w:val="30"/>
          <w:szCs w:val="30"/>
        </w:rPr>
        <w:fldChar w:fldCharType="end"/>
      </w:r>
      <w:r>
        <w:rPr>
          <w:sz w:val="30"/>
          <w:szCs w:val="30"/>
        </w:rPr>
        <w:t>人，平均每年2436人。普招生占比达63.9%，占整体生源三分二。</w:t>
      </w:r>
    </w:p>
    <w:p>
      <w:pPr>
        <w:spacing w:line="560" w:lineRule="exact"/>
        <w:jc w:val="center"/>
        <w:rPr>
          <w:b/>
          <w:sz w:val="24"/>
          <w:szCs w:val="24"/>
        </w:rPr>
      </w:pPr>
      <w:r>
        <w:rPr>
          <w:b/>
          <w:sz w:val="24"/>
          <w:szCs w:val="24"/>
        </w:rPr>
        <w:t>表5-3 高职院校连锁经营管理专业生源分析表</w:t>
      </w:r>
    </w:p>
    <w:tbl>
      <w:tblPr>
        <w:tblStyle w:val="23"/>
        <w:tblW w:w="79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36"/>
        <w:gridCol w:w="1136"/>
        <w:gridCol w:w="1135"/>
        <w:gridCol w:w="1136"/>
        <w:gridCol w:w="1136"/>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135" w:type="dxa"/>
            <w:vAlign w:val="center"/>
          </w:tcPr>
          <w:p>
            <w:pPr>
              <w:pStyle w:val="54"/>
              <w:jc w:val="center"/>
              <w:rPr>
                <w:rFonts w:eastAsia="仿宋_GB2312"/>
                <w:b/>
              </w:rPr>
            </w:pPr>
            <w:r>
              <w:rPr>
                <w:rFonts w:eastAsia="仿宋_GB2312"/>
                <w:b/>
              </w:rPr>
              <w:t>生源结构</w:t>
            </w:r>
          </w:p>
        </w:tc>
        <w:tc>
          <w:tcPr>
            <w:tcW w:w="1136" w:type="dxa"/>
            <w:vAlign w:val="center"/>
          </w:tcPr>
          <w:p>
            <w:pPr>
              <w:pStyle w:val="54"/>
              <w:jc w:val="center"/>
              <w:rPr>
                <w:rFonts w:eastAsia="仿宋_GB2312"/>
                <w:b/>
              </w:rPr>
            </w:pPr>
            <w:r>
              <w:rPr>
                <w:rFonts w:eastAsia="仿宋_GB2312"/>
                <w:b/>
              </w:rPr>
              <w:t>2014年</w:t>
            </w:r>
          </w:p>
        </w:tc>
        <w:tc>
          <w:tcPr>
            <w:tcW w:w="1136" w:type="dxa"/>
            <w:vAlign w:val="center"/>
          </w:tcPr>
          <w:p>
            <w:pPr>
              <w:pStyle w:val="54"/>
              <w:jc w:val="center"/>
              <w:rPr>
                <w:rFonts w:eastAsia="仿宋_GB2312"/>
                <w:b/>
              </w:rPr>
            </w:pPr>
            <w:r>
              <w:rPr>
                <w:rFonts w:eastAsia="仿宋_GB2312"/>
                <w:b/>
              </w:rPr>
              <w:t>2015年</w:t>
            </w:r>
          </w:p>
        </w:tc>
        <w:tc>
          <w:tcPr>
            <w:tcW w:w="1135" w:type="dxa"/>
            <w:vAlign w:val="center"/>
          </w:tcPr>
          <w:p>
            <w:pPr>
              <w:pStyle w:val="54"/>
              <w:jc w:val="center"/>
              <w:rPr>
                <w:rFonts w:eastAsia="仿宋_GB2312"/>
                <w:b/>
              </w:rPr>
            </w:pPr>
            <w:r>
              <w:rPr>
                <w:rFonts w:eastAsia="仿宋_GB2312"/>
                <w:b/>
              </w:rPr>
              <w:t>2016年</w:t>
            </w:r>
          </w:p>
        </w:tc>
        <w:tc>
          <w:tcPr>
            <w:tcW w:w="1136" w:type="dxa"/>
            <w:vAlign w:val="center"/>
          </w:tcPr>
          <w:p>
            <w:pPr>
              <w:pStyle w:val="54"/>
              <w:jc w:val="center"/>
              <w:rPr>
                <w:rFonts w:eastAsia="仿宋_GB2312"/>
                <w:b/>
              </w:rPr>
            </w:pPr>
            <w:r>
              <w:rPr>
                <w:rFonts w:eastAsia="仿宋_GB2312"/>
                <w:b/>
              </w:rPr>
              <w:t>合计</w:t>
            </w:r>
          </w:p>
        </w:tc>
        <w:tc>
          <w:tcPr>
            <w:tcW w:w="1136" w:type="dxa"/>
            <w:vAlign w:val="center"/>
          </w:tcPr>
          <w:p>
            <w:pPr>
              <w:pStyle w:val="54"/>
              <w:jc w:val="center"/>
              <w:rPr>
                <w:rFonts w:eastAsia="仿宋_GB2312"/>
                <w:b/>
              </w:rPr>
            </w:pPr>
            <w:r>
              <w:rPr>
                <w:rFonts w:eastAsia="仿宋_GB2312"/>
                <w:b/>
              </w:rPr>
              <w:t>三年平均</w:t>
            </w:r>
          </w:p>
        </w:tc>
        <w:tc>
          <w:tcPr>
            <w:tcW w:w="1136" w:type="dxa"/>
            <w:vAlign w:val="center"/>
          </w:tcPr>
          <w:p>
            <w:pPr>
              <w:pStyle w:val="54"/>
              <w:jc w:val="center"/>
              <w:rPr>
                <w:rFonts w:eastAsia="仿宋_GB2312"/>
                <w:b/>
              </w:rPr>
            </w:pPr>
            <w:r>
              <w:rPr>
                <w:rFonts w:eastAsia="仿宋_GB2312"/>
                <w:b/>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rPr>
            </w:pPr>
            <w:r>
              <w:rPr>
                <w:rFonts w:eastAsia="仿宋_GB2312"/>
              </w:rPr>
              <w:t>普招</w:t>
            </w:r>
          </w:p>
        </w:tc>
        <w:tc>
          <w:tcPr>
            <w:tcW w:w="1136" w:type="dxa"/>
            <w:vAlign w:val="center"/>
          </w:tcPr>
          <w:p>
            <w:pPr>
              <w:pStyle w:val="54"/>
              <w:jc w:val="center"/>
              <w:rPr>
                <w:rFonts w:eastAsia="仿宋_GB2312"/>
              </w:rPr>
            </w:pPr>
            <w:r>
              <w:rPr>
                <w:rFonts w:eastAsia="仿宋_GB2312"/>
              </w:rPr>
              <w:t>1570</w:t>
            </w:r>
          </w:p>
        </w:tc>
        <w:tc>
          <w:tcPr>
            <w:tcW w:w="1136" w:type="dxa"/>
            <w:vAlign w:val="center"/>
          </w:tcPr>
          <w:p>
            <w:pPr>
              <w:pStyle w:val="54"/>
              <w:jc w:val="center"/>
              <w:rPr>
                <w:rFonts w:eastAsia="仿宋_GB2312"/>
              </w:rPr>
            </w:pPr>
            <w:r>
              <w:rPr>
                <w:rFonts w:eastAsia="仿宋_GB2312"/>
              </w:rPr>
              <w:t>1525</w:t>
            </w:r>
          </w:p>
        </w:tc>
        <w:tc>
          <w:tcPr>
            <w:tcW w:w="1135" w:type="dxa"/>
            <w:vAlign w:val="center"/>
          </w:tcPr>
          <w:p>
            <w:pPr>
              <w:pStyle w:val="54"/>
              <w:jc w:val="center"/>
              <w:rPr>
                <w:rFonts w:eastAsia="仿宋_GB2312"/>
              </w:rPr>
            </w:pPr>
            <w:r>
              <w:rPr>
                <w:rFonts w:eastAsia="仿宋_GB2312"/>
              </w:rPr>
              <w:t>1576</w:t>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=SUM(LEFT) </w:instrText>
            </w:r>
            <w:r>
              <w:rPr>
                <w:rFonts w:eastAsia="仿宋_GB2312"/>
              </w:rPr>
              <w:fldChar w:fldCharType="separate"/>
            </w:r>
            <w:r>
              <w:rPr>
                <w:rFonts w:eastAsia="仿宋_GB2312"/>
              </w:rPr>
              <w:t>4671</w:t>
            </w:r>
            <w:r>
              <w:rPr>
                <w:rFonts w:eastAsia="仿宋_GB2312"/>
              </w:rPr>
              <w:fldChar w:fldCharType="end"/>
            </w:r>
          </w:p>
        </w:tc>
        <w:tc>
          <w:tcPr>
            <w:tcW w:w="1136" w:type="dxa"/>
            <w:vAlign w:val="center"/>
          </w:tcPr>
          <w:p>
            <w:pPr>
              <w:pStyle w:val="54"/>
              <w:jc w:val="center"/>
              <w:rPr>
                <w:rFonts w:eastAsia="仿宋_GB2312"/>
              </w:rPr>
            </w:pPr>
            <w:r>
              <w:rPr>
                <w:rFonts w:eastAsia="仿宋_GB2312"/>
              </w:rPr>
              <w:t>1557</w:t>
            </w:r>
          </w:p>
        </w:tc>
        <w:tc>
          <w:tcPr>
            <w:tcW w:w="1136" w:type="dxa"/>
            <w:vAlign w:val="center"/>
          </w:tcPr>
          <w:p>
            <w:pPr>
              <w:pStyle w:val="54"/>
              <w:jc w:val="center"/>
              <w:rPr>
                <w:rFonts w:eastAsia="仿宋_GB2312"/>
              </w:rPr>
            </w:pPr>
            <w:r>
              <w:rPr>
                <w:rFonts w:eastAsia="仿宋_GB2312"/>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rPr>
            </w:pPr>
            <w:r>
              <w:rPr>
                <w:rFonts w:eastAsia="仿宋_GB2312"/>
              </w:rPr>
              <w:t>对口</w:t>
            </w:r>
          </w:p>
        </w:tc>
        <w:tc>
          <w:tcPr>
            <w:tcW w:w="1136" w:type="dxa"/>
            <w:vAlign w:val="center"/>
          </w:tcPr>
          <w:p>
            <w:pPr>
              <w:pStyle w:val="54"/>
              <w:jc w:val="center"/>
              <w:rPr>
                <w:rFonts w:eastAsia="仿宋_GB2312"/>
              </w:rPr>
            </w:pPr>
            <w:r>
              <w:rPr>
                <w:rFonts w:eastAsia="仿宋_GB2312"/>
              </w:rPr>
              <w:t>487</w:t>
            </w:r>
          </w:p>
        </w:tc>
        <w:tc>
          <w:tcPr>
            <w:tcW w:w="1136" w:type="dxa"/>
            <w:vAlign w:val="center"/>
          </w:tcPr>
          <w:p>
            <w:pPr>
              <w:pStyle w:val="54"/>
              <w:jc w:val="center"/>
              <w:rPr>
                <w:rFonts w:eastAsia="仿宋_GB2312"/>
              </w:rPr>
            </w:pPr>
            <w:r>
              <w:rPr>
                <w:rFonts w:eastAsia="仿宋_GB2312"/>
              </w:rPr>
              <w:t>515</w:t>
            </w:r>
          </w:p>
        </w:tc>
        <w:tc>
          <w:tcPr>
            <w:tcW w:w="1135" w:type="dxa"/>
            <w:vAlign w:val="center"/>
          </w:tcPr>
          <w:p>
            <w:pPr>
              <w:pStyle w:val="54"/>
              <w:jc w:val="center"/>
              <w:rPr>
                <w:rFonts w:eastAsia="仿宋_GB2312"/>
              </w:rPr>
            </w:pPr>
            <w:r>
              <w:rPr>
                <w:rFonts w:eastAsia="仿宋_GB2312"/>
              </w:rPr>
              <w:t>477</w:t>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=SUM(LEFT) </w:instrText>
            </w:r>
            <w:r>
              <w:rPr>
                <w:rFonts w:eastAsia="仿宋_GB2312"/>
              </w:rPr>
              <w:fldChar w:fldCharType="separate"/>
            </w:r>
            <w:r>
              <w:rPr>
                <w:rFonts w:eastAsia="仿宋_GB2312"/>
              </w:rPr>
              <w:t>1479</w:t>
            </w:r>
            <w:r>
              <w:rPr>
                <w:rFonts w:eastAsia="仿宋_GB2312"/>
              </w:rPr>
              <w:fldChar w:fldCharType="end"/>
            </w:r>
          </w:p>
        </w:tc>
        <w:tc>
          <w:tcPr>
            <w:tcW w:w="1136" w:type="dxa"/>
            <w:vAlign w:val="center"/>
          </w:tcPr>
          <w:p>
            <w:pPr>
              <w:pStyle w:val="54"/>
              <w:jc w:val="center"/>
              <w:rPr>
                <w:rFonts w:eastAsia="仿宋_GB2312"/>
              </w:rPr>
            </w:pPr>
            <w:r>
              <w:rPr>
                <w:rFonts w:eastAsia="仿宋_GB2312"/>
              </w:rPr>
              <w:t>493</w:t>
            </w:r>
          </w:p>
        </w:tc>
        <w:tc>
          <w:tcPr>
            <w:tcW w:w="1136" w:type="dxa"/>
            <w:vAlign w:val="center"/>
          </w:tcPr>
          <w:p>
            <w:pPr>
              <w:pStyle w:val="54"/>
              <w:jc w:val="center"/>
              <w:rPr>
                <w:rFonts w:eastAsia="仿宋_GB2312"/>
              </w:rPr>
            </w:pPr>
            <w:r>
              <w:rPr>
                <w:rFonts w:eastAsia="仿宋_GB2312"/>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rPr>
            </w:pPr>
            <w:r>
              <w:rPr>
                <w:rFonts w:eastAsia="仿宋_GB2312"/>
              </w:rPr>
              <w:t>单招</w:t>
            </w:r>
          </w:p>
        </w:tc>
        <w:tc>
          <w:tcPr>
            <w:tcW w:w="1136" w:type="dxa"/>
            <w:vAlign w:val="center"/>
          </w:tcPr>
          <w:p>
            <w:pPr>
              <w:pStyle w:val="54"/>
              <w:jc w:val="center"/>
              <w:rPr>
                <w:rFonts w:eastAsia="仿宋_GB2312"/>
              </w:rPr>
            </w:pPr>
            <w:r>
              <w:rPr>
                <w:rFonts w:eastAsia="仿宋_GB2312"/>
              </w:rPr>
              <w:t>319</w:t>
            </w:r>
          </w:p>
        </w:tc>
        <w:tc>
          <w:tcPr>
            <w:tcW w:w="1136" w:type="dxa"/>
            <w:vAlign w:val="center"/>
          </w:tcPr>
          <w:p>
            <w:pPr>
              <w:pStyle w:val="54"/>
              <w:jc w:val="center"/>
              <w:rPr>
                <w:rFonts w:eastAsia="仿宋_GB2312"/>
              </w:rPr>
            </w:pPr>
            <w:r>
              <w:rPr>
                <w:rFonts w:eastAsia="仿宋_GB2312"/>
              </w:rPr>
              <w:t>403</w:t>
            </w:r>
          </w:p>
        </w:tc>
        <w:tc>
          <w:tcPr>
            <w:tcW w:w="1135" w:type="dxa"/>
            <w:vAlign w:val="center"/>
          </w:tcPr>
          <w:p>
            <w:pPr>
              <w:pStyle w:val="54"/>
              <w:jc w:val="center"/>
              <w:rPr>
                <w:rFonts w:eastAsia="仿宋_GB2312"/>
              </w:rPr>
            </w:pPr>
            <w:r>
              <w:rPr>
                <w:rFonts w:eastAsia="仿宋_GB2312"/>
              </w:rPr>
              <w:t>437</w:t>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=SUM(LEFT) </w:instrText>
            </w:r>
            <w:r>
              <w:rPr>
                <w:rFonts w:eastAsia="仿宋_GB2312"/>
              </w:rPr>
              <w:fldChar w:fldCharType="separate"/>
            </w:r>
            <w:r>
              <w:rPr>
                <w:rFonts w:eastAsia="仿宋_GB2312"/>
              </w:rPr>
              <w:t>1159</w:t>
            </w:r>
            <w:r>
              <w:rPr>
                <w:rFonts w:eastAsia="仿宋_GB2312"/>
              </w:rPr>
              <w:fldChar w:fldCharType="end"/>
            </w:r>
          </w:p>
        </w:tc>
        <w:tc>
          <w:tcPr>
            <w:tcW w:w="1136" w:type="dxa"/>
            <w:vAlign w:val="center"/>
          </w:tcPr>
          <w:p>
            <w:pPr>
              <w:pStyle w:val="54"/>
              <w:jc w:val="center"/>
              <w:rPr>
                <w:rFonts w:eastAsia="仿宋_GB2312"/>
              </w:rPr>
            </w:pPr>
            <w:r>
              <w:rPr>
                <w:rFonts w:eastAsia="仿宋_GB2312"/>
              </w:rPr>
              <w:t>386</w:t>
            </w:r>
          </w:p>
        </w:tc>
        <w:tc>
          <w:tcPr>
            <w:tcW w:w="1136" w:type="dxa"/>
            <w:vAlign w:val="center"/>
          </w:tcPr>
          <w:p>
            <w:pPr>
              <w:pStyle w:val="54"/>
              <w:jc w:val="center"/>
              <w:rPr>
                <w:rFonts w:eastAsia="仿宋_GB2312"/>
              </w:rPr>
            </w:pPr>
            <w:r>
              <w:rPr>
                <w:rFonts w:eastAsia="仿宋_GB2312"/>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rPr>
            </w:pPr>
            <w:r>
              <w:rPr>
                <w:rFonts w:eastAsia="仿宋_GB2312"/>
              </w:rPr>
              <w:t>合计</w:t>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=SUM(ABOVE) </w:instrText>
            </w:r>
            <w:r>
              <w:rPr>
                <w:rFonts w:eastAsia="仿宋_GB2312"/>
              </w:rPr>
              <w:fldChar w:fldCharType="separate"/>
            </w:r>
            <w:r>
              <w:rPr>
                <w:rFonts w:eastAsia="仿宋_GB2312"/>
              </w:rPr>
              <w:t>2376</w:t>
            </w:r>
            <w:r>
              <w:rPr>
                <w:rFonts w:eastAsia="仿宋_GB2312"/>
              </w:rPr>
              <w:fldChar w:fldCharType="end"/>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=SUM(ABOVE) </w:instrText>
            </w:r>
            <w:r>
              <w:rPr>
                <w:rFonts w:eastAsia="仿宋_GB2312"/>
              </w:rPr>
              <w:fldChar w:fldCharType="separate"/>
            </w:r>
            <w:r>
              <w:rPr>
                <w:rFonts w:eastAsia="仿宋_GB2312"/>
              </w:rPr>
              <w:t>2443</w:t>
            </w:r>
            <w:r>
              <w:rPr>
                <w:rFonts w:eastAsia="仿宋_GB2312"/>
              </w:rPr>
              <w:fldChar w:fldCharType="end"/>
            </w:r>
          </w:p>
        </w:tc>
        <w:tc>
          <w:tcPr>
            <w:tcW w:w="1135" w:type="dxa"/>
            <w:vAlign w:val="center"/>
          </w:tcPr>
          <w:p>
            <w:pPr>
              <w:pStyle w:val="54"/>
              <w:jc w:val="center"/>
              <w:rPr>
                <w:rFonts w:eastAsia="仿宋_GB2312"/>
              </w:rPr>
            </w:pPr>
            <w:r>
              <w:rPr>
                <w:rFonts w:eastAsia="仿宋_GB2312"/>
              </w:rPr>
              <w:fldChar w:fldCharType="begin"/>
            </w:r>
            <w:r>
              <w:rPr>
                <w:rFonts w:eastAsia="仿宋_GB2312"/>
              </w:rPr>
              <w:instrText xml:space="preserve"> =SUM(ABOVE) </w:instrText>
            </w:r>
            <w:r>
              <w:rPr>
                <w:rFonts w:eastAsia="仿宋_GB2312"/>
              </w:rPr>
              <w:fldChar w:fldCharType="separate"/>
            </w:r>
            <w:r>
              <w:rPr>
                <w:rFonts w:eastAsia="仿宋_GB2312"/>
              </w:rPr>
              <w:t>2490</w:t>
            </w:r>
            <w:r>
              <w:rPr>
                <w:rFonts w:eastAsia="仿宋_GB2312"/>
              </w:rPr>
              <w:fldChar w:fldCharType="end"/>
            </w:r>
          </w:p>
        </w:tc>
        <w:tc>
          <w:tcPr>
            <w:tcW w:w="1136" w:type="dxa"/>
            <w:vAlign w:val="center"/>
          </w:tcPr>
          <w:p>
            <w:pPr>
              <w:pStyle w:val="54"/>
              <w:jc w:val="center"/>
              <w:rPr>
                <w:rFonts w:eastAsia="仿宋_GB2312"/>
              </w:rPr>
            </w:pPr>
            <w:r>
              <w:rPr>
                <w:rFonts w:eastAsia="仿宋_GB2312"/>
              </w:rPr>
              <w:fldChar w:fldCharType="begin"/>
            </w:r>
            <w:r>
              <w:rPr>
                <w:rFonts w:eastAsia="仿宋_GB2312"/>
              </w:rPr>
              <w:instrText xml:space="preserve"> =SUM(ABOVE) </w:instrText>
            </w:r>
            <w:r>
              <w:rPr>
                <w:rFonts w:eastAsia="仿宋_GB2312"/>
              </w:rPr>
              <w:fldChar w:fldCharType="separate"/>
            </w:r>
            <w:r>
              <w:rPr>
                <w:rFonts w:eastAsia="仿宋_GB2312"/>
              </w:rPr>
              <w:t>7309</w:t>
            </w:r>
            <w:r>
              <w:rPr>
                <w:rFonts w:eastAsia="仿宋_GB2312"/>
              </w:rPr>
              <w:fldChar w:fldCharType="end"/>
            </w:r>
          </w:p>
        </w:tc>
        <w:tc>
          <w:tcPr>
            <w:tcW w:w="1136" w:type="dxa"/>
            <w:vAlign w:val="center"/>
          </w:tcPr>
          <w:p>
            <w:pPr>
              <w:pStyle w:val="54"/>
              <w:jc w:val="center"/>
              <w:rPr>
                <w:rFonts w:eastAsia="仿宋_GB2312"/>
              </w:rPr>
            </w:pPr>
            <w:r>
              <w:rPr>
                <w:rFonts w:eastAsia="仿宋_GB2312"/>
              </w:rPr>
              <w:t>2436</w:t>
            </w:r>
          </w:p>
        </w:tc>
        <w:tc>
          <w:tcPr>
            <w:tcW w:w="1136" w:type="dxa"/>
            <w:vAlign w:val="center"/>
          </w:tcPr>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color w:val="auto"/>
              </w:rPr>
            </w:pPr>
            <w:r>
              <w:rPr>
                <w:rFonts w:eastAsia="仿宋_GB2312"/>
                <w:color w:val="auto"/>
              </w:rPr>
              <w:t>就业率</w:t>
            </w:r>
          </w:p>
        </w:tc>
        <w:tc>
          <w:tcPr>
            <w:tcW w:w="1136" w:type="dxa"/>
            <w:vAlign w:val="center"/>
          </w:tcPr>
          <w:p>
            <w:pPr>
              <w:pStyle w:val="54"/>
              <w:jc w:val="center"/>
              <w:rPr>
                <w:rFonts w:eastAsia="仿宋_GB2312"/>
                <w:color w:val="auto"/>
              </w:rPr>
            </w:pPr>
            <w:r>
              <w:rPr>
                <w:rFonts w:eastAsia="仿宋_GB2312"/>
                <w:color w:val="auto"/>
              </w:rPr>
              <w:t>98.99%</w:t>
            </w:r>
          </w:p>
        </w:tc>
        <w:tc>
          <w:tcPr>
            <w:tcW w:w="1136" w:type="dxa"/>
            <w:vAlign w:val="center"/>
          </w:tcPr>
          <w:p>
            <w:pPr>
              <w:pStyle w:val="54"/>
              <w:jc w:val="center"/>
              <w:rPr>
                <w:rFonts w:eastAsia="仿宋_GB2312"/>
                <w:color w:val="auto"/>
              </w:rPr>
            </w:pPr>
            <w:r>
              <w:rPr>
                <w:rFonts w:eastAsia="仿宋_GB2312"/>
                <w:color w:val="auto"/>
              </w:rPr>
              <w:t>99.43%</w:t>
            </w:r>
          </w:p>
        </w:tc>
        <w:tc>
          <w:tcPr>
            <w:tcW w:w="1135" w:type="dxa"/>
            <w:vAlign w:val="center"/>
          </w:tcPr>
          <w:p>
            <w:pPr>
              <w:pStyle w:val="54"/>
              <w:jc w:val="center"/>
              <w:rPr>
                <w:rFonts w:eastAsia="仿宋_GB2312"/>
                <w:color w:val="auto"/>
              </w:rPr>
            </w:pPr>
            <w:r>
              <w:rPr>
                <w:rFonts w:eastAsia="仿宋_GB2312"/>
                <w:color w:val="auto"/>
              </w:rPr>
              <w:t>95.78%</w:t>
            </w:r>
          </w:p>
        </w:tc>
        <w:tc>
          <w:tcPr>
            <w:tcW w:w="1136" w:type="dxa"/>
            <w:vAlign w:val="center"/>
          </w:tcPr>
          <w:p>
            <w:pPr>
              <w:jc w:val="center"/>
              <w:rPr>
                <w:sz w:val="24"/>
                <w:szCs w:val="24"/>
              </w:rPr>
            </w:pPr>
            <w:r>
              <w:rPr>
                <w:sz w:val="24"/>
                <w:szCs w:val="24"/>
              </w:rPr>
              <w:t>——</w:t>
            </w:r>
          </w:p>
        </w:tc>
        <w:tc>
          <w:tcPr>
            <w:tcW w:w="1136" w:type="dxa"/>
            <w:vAlign w:val="center"/>
          </w:tcPr>
          <w:p>
            <w:pPr>
              <w:pStyle w:val="54"/>
              <w:jc w:val="center"/>
              <w:rPr>
                <w:rFonts w:eastAsia="仿宋_GB2312"/>
                <w:color w:val="auto"/>
              </w:rPr>
            </w:pPr>
            <w:r>
              <w:rPr>
                <w:rFonts w:eastAsia="仿宋_GB2312"/>
                <w:color w:val="auto"/>
              </w:rPr>
              <w:t>98.06%</w:t>
            </w:r>
          </w:p>
        </w:tc>
        <w:tc>
          <w:tcPr>
            <w:tcW w:w="1136" w:type="dxa"/>
            <w:vAlign w:val="center"/>
          </w:tcPr>
          <w:p>
            <w:pPr>
              <w:jc w:val="cente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5" w:type="dxa"/>
            <w:vAlign w:val="center"/>
          </w:tcPr>
          <w:p>
            <w:pPr>
              <w:pStyle w:val="54"/>
              <w:jc w:val="center"/>
              <w:rPr>
                <w:rFonts w:eastAsia="仿宋_GB2312"/>
                <w:color w:val="auto"/>
              </w:rPr>
            </w:pPr>
            <w:r>
              <w:rPr>
                <w:rFonts w:eastAsia="仿宋_GB2312"/>
                <w:color w:val="auto"/>
              </w:rPr>
              <w:t>对口率</w:t>
            </w:r>
          </w:p>
        </w:tc>
        <w:tc>
          <w:tcPr>
            <w:tcW w:w="1136" w:type="dxa"/>
            <w:vAlign w:val="center"/>
          </w:tcPr>
          <w:p>
            <w:pPr>
              <w:pStyle w:val="54"/>
              <w:jc w:val="center"/>
              <w:rPr>
                <w:rFonts w:eastAsia="仿宋_GB2312"/>
                <w:color w:val="auto"/>
              </w:rPr>
            </w:pPr>
            <w:r>
              <w:rPr>
                <w:rFonts w:eastAsia="仿宋_GB2312"/>
                <w:color w:val="auto"/>
              </w:rPr>
              <w:t>68.04%</w:t>
            </w:r>
          </w:p>
        </w:tc>
        <w:tc>
          <w:tcPr>
            <w:tcW w:w="1136" w:type="dxa"/>
            <w:vAlign w:val="center"/>
          </w:tcPr>
          <w:p>
            <w:pPr>
              <w:pStyle w:val="54"/>
              <w:jc w:val="center"/>
              <w:rPr>
                <w:rFonts w:eastAsia="仿宋_GB2312"/>
                <w:color w:val="auto"/>
              </w:rPr>
            </w:pPr>
            <w:r>
              <w:rPr>
                <w:rFonts w:eastAsia="仿宋_GB2312"/>
                <w:color w:val="auto"/>
              </w:rPr>
              <w:t>68.92%</w:t>
            </w:r>
          </w:p>
        </w:tc>
        <w:tc>
          <w:tcPr>
            <w:tcW w:w="1135" w:type="dxa"/>
            <w:vAlign w:val="center"/>
          </w:tcPr>
          <w:p>
            <w:pPr>
              <w:pStyle w:val="54"/>
              <w:jc w:val="center"/>
              <w:rPr>
                <w:rFonts w:eastAsia="仿宋_GB2312"/>
                <w:color w:val="auto"/>
              </w:rPr>
            </w:pPr>
            <w:r>
              <w:rPr>
                <w:rFonts w:eastAsia="仿宋_GB2312"/>
                <w:color w:val="auto"/>
              </w:rPr>
              <w:t>69.96%</w:t>
            </w:r>
          </w:p>
        </w:tc>
        <w:tc>
          <w:tcPr>
            <w:tcW w:w="1136" w:type="dxa"/>
            <w:vAlign w:val="center"/>
          </w:tcPr>
          <w:p>
            <w:pPr>
              <w:jc w:val="center"/>
              <w:rPr>
                <w:sz w:val="24"/>
                <w:szCs w:val="24"/>
              </w:rPr>
            </w:pPr>
            <w:r>
              <w:rPr>
                <w:sz w:val="24"/>
                <w:szCs w:val="24"/>
              </w:rPr>
              <w:t>——</w:t>
            </w:r>
          </w:p>
        </w:tc>
        <w:tc>
          <w:tcPr>
            <w:tcW w:w="1136" w:type="dxa"/>
            <w:vAlign w:val="center"/>
          </w:tcPr>
          <w:p>
            <w:pPr>
              <w:pStyle w:val="54"/>
              <w:jc w:val="center"/>
              <w:rPr>
                <w:rFonts w:eastAsia="仿宋_GB2312"/>
                <w:color w:val="auto"/>
              </w:rPr>
            </w:pPr>
            <w:r>
              <w:rPr>
                <w:rFonts w:eastAsia="仿宋_GB2312"/>
                <w:color w:val="auto"/>
              </w:rPr>
              <w:t>68.97%</w:t>
            </w:r>
          </w:p>
        </w:tc>
        <w:tc>
          <w:tcPr>
            <w:tcW w:w="1136" w:type="dxa"/>
            <w:vAlign w:val="center"/>
          </w:tcPr>
          <w:p>
            <w:pPr>
              <w:jc w:val="center"/>
              <w:rPr>
                <w:sz w:val="24"/>
                <w:szCs w:val="24"/>
              </w:rPr>
            </w:pPr>
            <w:r>
              <w:rPr>
                <w:sz w:val="24"/>
                <w:szCs w:val="24"/>
              </w:rPr>
              <w:t>——</w:t>
            </w:r>
          </w:p>
        </w:tc>
      </w:tr>
    </w:tbl>
    <w:p>
      <w:pPr>
        <w:spacing w:line="560" w:lineRule="exact"/>
        <w:ind w:firstLine="602" w:firstLineChars="200"/>
        <w:rPr>
          <w:b/>
          <w:sz w:val="30"/>
          <w:szCs w:val="30"/>
        </w:rPr>
      </w:pPr>
      <w:r>
        <w:rPr>
          <w:b/>
          <w:sz w:val="30"/>
          <w:szCs w:val="30"/>
        </w:rPr>
        <w:t>3</w:t>
      </w:r>
      <w:r>
        <w:rPr>
          <w:rFonts w:hint="eastAsia"/>
          <w:b/>
          <w:sz w:val="30"/>
          <w:szCs w:val="30"/>
        </w:rPr>
        <w:t>．</w:t>
      </w:r>
      <w:r>
        <w:rPr>
          <w:b/>
          <w:sz w:val="30"/>
          <w:szCs w:val="30"/>
        </w:rPr>
        <w:t>师资条件</w:t>
      </w:r>
    </w:p>
    <w:p>
      <w:pPr>
        <w:spacing w:line="560" w:lineRule="exact"/>
        <w:ind w:firstLine="600" w:firstLineChars="200"/>
        <w:rPr>
          <w:sz w:val="30"/>
          <w:szCs w:val="30"/>
        </w:rPr>
      </w:pPr>
      <w:r>
        <w:rPr>
          <w:sz w:val="30"/>
          <w:szCs w:val="30"/>
        </w:rPr>
        <w:t>调研结果显示，各高职院校90%的教师都具有硕士及以上学位，职称结构比较合理，双师素质教师比例达92%以上。</w:t>
      </w:r>
    </w:p>
    <w:p>
      <w:pPr>
        <w:spacing w:line="560" w:lineRule="exact"/>
        <w:jc w:val="center"/>
        <w:rPr>
          <w:b/>
          <w:sz w:val="24"/>
          <w:szCs w:val="24"/>
        </w:rPr>
      </w:pPr>
      <w:r>
        <w:rPr>
          <w:b/>
          <w:sz w:val="24"/>
          <w:szCs w:val="24"/>
        </w:rPr>
        <w:t>表5-4 高职院校连锁经营管理专业师资结构</w:t>
      </w:r>
    </w:p>
    <w:tbl>
      <w:tblPr>
        <w:tblStyle w:val="22"/>
        <w:tblW w:w="8172" w:type="dxa"/>
        <w:jc w:val="center"/>
        <w:tblInd w:w="0" w:type="dxa"/>
        <w:tblLayout w:type="fixed"/>
        <w:tblCellMar>
          <w:top w:w="0" w:type="dxa"/>
          <w:left w:w="108" w:type="dxa"/>
          <w:bottom w:w="0" w:type="dxa"/>
          <w:right w:w="108" w:type="dxa"/>
        </w:tblCellMar>
      </w:tblPr>
      <w:tblGrid>
        <w:gridCol w:w="1482"/>
        <w:gridCol w:w="2230"/>
        <w:gridCol w:w="2230"/>
        <w:gridCol w:w="2230"/>
      </w:tblGrid>
      <w:tr>
        <w:tblPrEx>
          <w:tblLayout w:type="fixed"/>
          <w:tblCellMar>
            <w:top w:w="0" w:type="dxa"/>
            <w:left w:w="108" w:type="dxa"/>
            <w:bottom w:w="0" w:type="dxa"/>
            <w:right w:w="108" w:type="dxa"/>
          </w:tblCellMar>
        </w:tblPrEx>
        <w:trPr>
          <w:trHeight w:val="299" w:hRule="atLeast"/>
          <w:jc w:val="center"/>
        </w:trPr>
        <w:tc>
          <w:tcPr>
            <w:tcW w:w="1482" w:type="dxa"/>
            <w:tcBorders>
              <w:top w:val="single" w:color="auto" w:sz="8" w:space="0"/>
              <w:left w:val="single" w:color="auto" w:sz="8" w:space="0"/>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项目</w:t>
            </w:r>
          </w:p>
        </w:tc>
        <w:tc>
          <w:tcPr>
            <w:tcW w:w="2230" w:type="dxa"/>
            <w:tcBorders>
              <w:top w:val="single" w:color="auto" w:sz="8" w:space="0"/>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结构</w:t>
            </w:r>
          </w:p>
        </w:tc>
        <w:tc>
          <w:tcPr>
            <w:tcW w:w="2230" w:type="dxa"/>
            <w:tcBorders>
              <w:top w:val="single" w:color="auto" w:sz="8" w:space="0"/>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人数</w:t>
            </w:r>
          </w:p>
        </w:tc>
        <w:tc>
          <w:tcPr>
            <w:tcW w:w="2230" w:type="dxa"/>
            <w:tcBorders>
              <w:top w:val="single" w:color="auto" w:sz="8" w:space="0"/>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比例</w:t>
            </w:r>
          </w:p>
        </w:tc>
      </w:tr>
      <w:tr>
        <w:tblPrEx>
          <w:tblLayout w:type="fixed"/>
          <w:tblCellMar>
            <w:top w:w="0" w:type="dxa"/>
            <w:left w:w="108" w:type="dxa"/>
            <w:bottom w:w="0" w:type="dxa"/>
            <w:right w:w="108" w:type="dxa"/>
          </w:tblCellMar>
        </w:tblPrEx>
        <w:trPr>
          <w:trHeight w:val="299" w:hRule="atLeast"/>
          <w:jc w:val="center"/>
        </w:trPr>
        <w:tc>
          <w:tcPr>
            <w:tcW w:w="1482" w:type="dxa"/>
            <w:vMerge w:val="restart"/>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学历</w:t>
            </w: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博士</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16</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7.44%</w:t>
            </w:r>
          </w:p>
        </w:tc>
      </w:tr>
      <w:tr>
        <w:tblPrEx>
          <w:tblLayout w:type="fixed"/>
          <w:tblCellMar>
            <w:top w:w="0" w:type="dxa"/>
            <w:left w:w="108" w:type="dxa"/>
            <w:bottom w:w="0" w:type="dxa"/>
            <w:right w:w="108" w:type="dxa"/>
          </w:tblCellMar>
        </w:tblPrEx>
        <w:trPr>
          <w:trHeight w:val="299" w:hRule="atLeast"/>
          <w:jc w:val="center"/>
        </w:trPr>
        <w:tc>
          <w:tcPr>
            <w:tcW w:w="1482" w:type="dxa"/>
            <w:vMerge w:val="continue"/>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硕士</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158</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73.49%</w:t>
            </w:r>
          </w:p>
        </w:tc>
      </w:tr>
      <w:tr>
        <w:tblPrEx>
          <w:tblLayout w:type="fixed"/>
          <w:tblCellMar>
            <w:top w:w="0" w:type="dxa"/>
            <w:left w:w="108" w:type="dxa"/>
            <w:bottom w:w="0" w:type="dxa"/>
            <w:right w:w="108" w:type="dxa"/>
          </w:tblCellMar>
        </w:tblPrEx>
        <w:trPr>
          <w:trHeight w:val="299" w:hRule="atLeast"/>
          <w:jc w:val="center"/>
        </w:trPr>
        <w:tc>
          <w:tcPr>
            <w:tcW w:w="1482" w:type="dxa"/>
            <w:vMerge w:val="continue"/>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本科</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41</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19.07%</w:t>
            </w:r>
          </w:p>
        </w:tc>
      </w:tr>
      <w:tr>
        <w:tblPrEx>
          <w:tblLayout w:type="fixed"/>
          <w:tblCellMar>
            <w:top w:w="0" w:type="dxa"/>
            <w:left w:w="108" w:type="dxa"/>
            <w:bottom w:w="0" w:type="dxa"/>
            <w:right w:w="108" w:type="dxa"/>
          </w:tblCellMar>
        </w:tblPrEx>
        <w:trPr>
          <w:trHeight w:val="299" w:hRule="atLeast"/>
          <w:jc w:val="center"/>
        </w:trPr>
        <w:tc>
          <w:tcPr>
            <w:tcW w:w="1482" w:type="dxa"/>
            <w:vMerge w:val="restart"/>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职称</w:t>
            </w: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高级职称</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90</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41.86%</w:t>
            </w:r>
          </w:p>
        </w:tc>
      </w:tr>
      <w:tr>
        <w:tblPrEx>
          <w:tblLayout w:type="fixed"/>
          <w:tblCellMar>
            <w:top w:w="0" w:type="dxa"/>
            <w:left w:w="108" w:type="dxa"/>
            <w:bottom w:w="0" w:type="dxa"/>
            <w:right w:w="108" w:type="dxa"/>
          </w:tblCellMar>
        </w:tblPrEx>
        <w:trPr>
          <w:trHeight w:val="299" w:hRule="atLeast"/>
          <w:jc w:val="center"/>
        </w:trPr>
        <w:tc>
          <w:tcPr>
            <w:tcW w:w="1482" w:type="dxa"/>
            <w:vMerge w:val="continue"/>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中级职称</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100</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46.51%</w:t>
            </w:r>
          </w:p>
        </w:tc>
      </w:tr>
      <w:tr>
        <w:tblPrEx>
          <w:tblLayout w:type="fixed"/>
          <w:tblCellMar>
            <w:top w:w="0" w:type="dxa"/>
            <w:left w:w="108" w:type="dxa"/>
            <w:bottom w:w="0" w:type="dxa"/>
            <w:right w:w="108" w:type="dxa"/>
          </w:tblCellMar>
        </w:tblPrEx>
        <w:trPr>
          <w:trHeight w:val="299" w:hRule="atLeast"/>
          <w:jc w:val="center"/>
        </w:trPr>
        <w:tc>
          <w:tcPr>
            <w:tcW w:w="1482" w:type="dxa"/>
            <w:vMerge w:val="continue"/>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初级职称</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25</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11.63%</w:t>
            </w:r>
          </w:p>
        </w:tc>
      </w:tr>
      <w:tr>
        <w:tblPrEx>
          <w:tblLayout w:type="fixed"/>
          <w:tblCellMar>
            <w:top w:w="0" w:type="dxa"/>
            <w:left w:w="108" w:type="dxa"/>
            <w:bottom w:w="0" w:type="dxa"/>
            <w:right w:w="108" w:type="dxa"/>
          </w:tblCellMar>
        </w:tblPrEx>
        <w:trPr>
          <w:trHeight w:val="299" w:hRule="atLeast"/>
          <w:jc w:val="center"/>
        </w:trPr>
        <w:tc>
          <w:tcPr>
            <w:tcW w:w="1482" w:type="dxa"/>
            <w:tcBorders>
              <w:top w:val="nil"/>
              <w:left w:val="single" w:color="auto" w:sz="8" w:space="0"/>
              <w:bottom w:val="single" w:color="000000"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双师比例</w:t>
            </w: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双师比例</w:t>
            </w:r>
          </w:p>
        </w:tc>
        <w:tc>
          <w:tcPr>
            <w:tcW w:w="2230" w:type="dxa"/>
            <w:tcBorders>
              <w:top w:val="nil"/>
              <w:left w:val="nil"/>
              <w:bottom w:val="single" w:color="auto" w:sz="8" w:space="0"/>
              <w:right w:val="single" w:color="auto" w:sz="8" w:space="0"/>
            </w:tcBorders>
            <w:vAlign w:val="center"/>
          </w:tcPr>
          <w:p>
            <w:pPr>
              <w:jc w:val="center"/>
              <w:rPr>
                <w:b/>
                <w:sz w:val="24"/>
                <w:szCs w:val="24"/>
              </w:rPr>
            </w:pPr>
            <w:r>
              <w:rPr>
                <w:b/>
                <w:sz w:val="24"/>
                <w:szCs w:val="24"/>
              </w:rPr>
              <w:t>199</w:t>
            </w:r>
          </w:p>
        </w:tc>
        <w:tc>
          <w:tcPr>
            <w:tcW w:w="2230" w:type="dxa"/>
            <w:tcBorders>
              <w:top w:val="nil"/>
              <w:left w:val="nil"/>
              <w:bottom w:val="single" w:color="auto" w:sz="8" w:space="0"/>
              <w:right w:val="single" w:color="auto" w:sz="8" w:space="0"/>
            </w:tcBorders>
            <w:vAlign w:val="center"/>
          </w:tcPr>
          <w:p>
            <w:pPr>
              <w:jc w:val="center"/>
              <w:rPr>
                <w:b/>
                <w:sz w:val="24"/>
                <w:szCs w:val="24"/>
              </w:rPr>
            </w:pPr>
            <w:r>
              <w:rPr>
                <w:b/>
                <w:sz w:val="24"/>
                <w:szCs w:val="24"/>
              </w:rPr>
              <w:t>92.56%</w:t>
            </w:r>
          </w:p>
        </w:tc>
      </w:tr>
      <w:tr>
        <w:tblPrEx>
          <w:tblLayout w:type="fixed"/>
          <w:tblCellMar>
            <w:top w:w="0" w:type="dxa"/>
            <w:left w:w="108" w:type="dxa"/>
            <w:bottom w:w="0" w:type="dxa"/>
            <w:right w:w="108" w:type="dxa"/>
          </w:tblCellMar>
        </w:tblPrEx>
        <w:trPr>
          <w:trHeight w:val="299" w:hRule="atLeast"/>
          <w:jc w:val="center"/>
        </w:trPr>
        <w:tc>
          <w:tcPr>
            <w:tcW w:w="1482" w:type="dxa"/>
            <w:tcBorders>
              <w:top w:val="nil"/>
              <w:left w:val="single" w:color="auto" w:sz="8" w:space="0"/>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兼职教师</w:t>
            </w:r>
          </w:p>
        </w:tc>
        <w:tc>
          <w:tcPr>
            <w:tcW w:w="2230" w:type="dxa"/>
            <w:tcBorders>
              <w:top w:val="nil"/>
              <w:left w:val="nil"/>
              <w:bottom w:val="single" w:color="auto" w:sz="8" w:space="0"/>
              <w:right w:val="single" w:color="auto" w:sz="8" w:space="0"/>
            </w:tcBorders>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兼职教师</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122</w:t>
            </w:r>
          </w:p>
        </w:tc>
        <w:tc>
          <w:tcPr>
            <w:tcW w:w="2230" w:type="dxa"/>
            <w:tcBorders>
              <w:top w:val="nil"/>
              <w:left w:val="nil"/>
              <w:bottom w:val="single" w:color="auto" w:sz="8" w:space="0"/>
              <w:right w:val="single" w:color="auto" w:sz="8" w:space="0"/>
            </w:tcBorders>
            <w:vAlign w:val="center"/>
          </w:tcPr>
          <w:p>
            <w:pPr>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w:t>
            </w:r>
          </w:p>
        </w:tc>
      </w:tr>
    </w:tbl>
    <w:p>
      <w:pPr>
        <w:spacing w:line="560" w:lineRule="exact"/>
        <w:ind w:firstLine="602" w:firstLineChars="200"/>
        <w:rPr>
          <w:b/>
          <w:sz w:val="30"/>
          <w:szCs w:val="30"/>
        </w:rPr>
      </w:pPr>
      <w:r>
        <w:rPr>
          <w:rFonts w:hint="eastAsia"/>
          <w:b/>
          <w:sz w:val="30"/>
          <w:szCs w:val="30"/>
        </w:rPr>
        <w:t>4．</w:t>
      </w:r>
      <w:r>
        <w:rPr>
          <w:b/>
          <w:sz w:val="30"/>
          <w:szCs w:val="30"/>
        </w:rPr>
        <w:t>实训条件</w:t>
      </w:r>
    </w:p>
    <w:p>
      <w:pPr>
        <w:spacing w:line="560" w:lineRule="exact"/>
        <w:ind w:firstLine="600" w:firstLineChars="200"/>
        <w:rPr>
          <w:sz w:val="30"/>
          <w:szCs w:val="30"/>
        </w:rPr>
      </w:pPr>
      <w:r>
        <w:rPr>
          <w:sz w:val="30"/>
          <w:szCs w:val="30"/>
        </w:rPr>
        <w:t>调研数据显示，25所院校共建有91个校内实训室，平均每个实训室面积80平方米。校内实训又包含两个方面：一是模拟实验室，即通过计算机和信息技术来模拟连锁企业的采购、陈列、营运等业务流程，还有的与其他专业共用实训室，如有8个实训室与物流有关、13个实训室属于营销礼仪，还有3个实训室定位于数据分析，另外3个定位于电子商务；二是校内实训基地，即教学型商业体验中心，如自建校园超市等，25家院校中有7家院校自己开设有校园实训超市。</w:t>
      </w:r>
    </w:p>
    <w:p>
      <w:pPr>
        <w:spacing w:line="560" w:lineRule="exact"/>
        <w:ind w:firstLine="602" w:firstLineChars="200"/>
        <w:rPr>
          <w:b/>
          <w:sz w:val="30"/>
          <w:szCs w:val="30"/>
        </w:rPr>
      </w:pPr>
      <w:r>
        <w:rPr>
          <w:rFonts w:hint="eastAsia"/>
          <w:b/>
          <w:sz w:val="30"/>
          <w:szCs w:val="30"/>
        </w:rPr>
        <w:t>5．</w:t>
      </w:r>
      <w:r>
        <w:rPr>
          <w:b/>
          <w:sz w:val="30"/>
          <w:szCs w:val="30"/>
        </w:rPr>
        <w:t>校企合作情况</w:t>
      </w:r>
    </w:p>
    <w:p>
      <w:pPr>
        <w:spacing w:line="560" w:lineRule="exact"/>
        <w:ind w:firstLine="600" w:firstLineChars="200"/>
        <w:rPr>
          <w:sz w:val="30"/>
          <w:szCs w:val="30"/>
        </w:rPr>
      </w:pPr>
      <w:r>
        <w:rPr>
          <w:sz w:val="30"/>
          <w:szCs w:val="30"/>
        </w:rPr>
        <w:t>在所调研的25所院校中，主要合作企业170家，平均每所院校拥有6.8家有稳定合作关系且有实际合作内容的企业，考虑到连锁企业一般都拥有较多门店，完全能够满足专业顶岗实习和企业教师授课，但是能够做到订单班、校企共同合作课题或者现代学徒制的仅有8所院校，说明校企合作的深度还有待加强。</w:t>
      </w:r>
    </w:p>
    <w:p>
      <w:pPr>
        <w:spacing w:line="560" w:lineRule="exact"/>
        <w:ind w:firstLine="602" w:firstLineChars="200"/>
        <w:rPr>
          <w:b/>
          <w:sz w:val="30"/>
          <w:szCs w:val="30"/>
        </w:rPr>
      </w:pPr>
      <w:r>
        <w:rPr>
          <w:rFonts w:hint="eastAsia"/>
          <w:b/>
          <w:sz w:val="30"/>
          <w:szCs w:val="30"/>
        </w:rPr>
        <w:t>6．</w:t>
      </w:r>
      <w:r>
        <w:rPr>
          <w:b/>
          <w:sz w:val="30"/>
          <w:szCs w:val="30"/>
        </w:rPr>
        <w:t>就业岗位面向情况</w:t>
      </w:r>
    </w:p>
    <w:p>
      <w:pPr>
        <w:spacing w:line="560" w:lineRule="exact"/>
        <w:ind w:firstLine="600" w:firstLineChars="200"/>
        <w:rPr>
          <w:sz w:val="30"/>
          <w:szCs w:val="30"/>
        </w:rPr>
      </w:pPr>
      <w:r>
        <w:rPr>
          <w:sz w:val="30"/>
          <w:szCs w:val="30"/>
        </w:rPr>
        <w:t>被调研的25所学校均面向商贸零售业，其中5所院校包含酒店餐饮，且在专业就业岗位面向上，与行业需求相吻合，聚焦在门店营运管理类岗位，兼顾商品采购与营销企划类岗位。</w:t>
      </w:r>
    </w:p>
    <w:p>
      <w:pPr>
        <w:spacing w:line="288" w:lineRule="auto"/>
        <w:jc w:val="center"/>
        <w:rPr>
          <w:b/>
          <w:sz w:val="28"/>
          <w:szCs w:val="30"/>
        </w:rPr>
      </w:pPr>
      <w:r>
        <w:rPr>
          <w:b/>
          <w:sz w:val="28"/>
          <w:szCs w:val="30"/>
        </w:rPr>
        <w:drawing>
          <wp:inline distT="0" distB="0" distL="0" distR="0">
            <wp:extent cx="4741545" cy="30194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63629" cy="3033647"/>
                    </a:xfrm>
                    <a:prstGeom prst="rect">
                      <a:avLst/>
                    </a:prstGeom>
                    <a:ln>
                      <a:noFill/>
                    </a:ln>
                    <a:effectLst>
                      <a:softEdge rad="112500"/>
                    </a:effectLst>
                  </pic:spPr>
                </pic:pic>
              </a:graphicData>
            </a:graphic>
          </wp:inline>
        </w:drawing>
      </w:r>
    </w:p>
    <w:p>
      <w:pPr>
        <w:spacing w:line="560" w:lineRule="exact"/>
        <w:jc w:val="center"/>
        <w:rPr>
          <w:b/>
          <w:sz w:val="24"/>
          <w:szCs w:val="24"/>
        </w:rPr>
      </w:pPr>
      <w:r>
        <w:rPr>
          <w:b/>
          <w:sz w:val="24"/>
          <w:szCs w:val="24"/>
        </w:rPr>
        <w:t>图5-5 学校人才培养就业岗位面向</w:t>
      </w:r>
    </w:p>
    <w:p>
      <w:pPr>
        <w:spacing w:line="560" w:lineRule="exact"/>
        <w:ind w:firstLine="602" w:firstLineChars="200"/>
        <w:rPr>
          <w:b/>
          <w:sz w:val="30"/>
          <w:szCs w:val="30"/>
        </w:rPr>
      </w:pPr>
      <w:r>
        <w:rPr>
          <w:b/>
          <w:sz w:val="30"/>
          <w:szCs w:val="30"/>
        </w:rPr>
        <w:t>7</w:t>
      </w:r>
      <w:r>
        <w:rPr>
          <w:rFonts w:hint="eastAsia"/>
          <w:b/>
          <w:sz w:val="30"/>
          <w:szCs w:val="30"/>
        </w:rPr>
        <w:t>．</w:t>
      </w:r>
      <w:r>
        <w:rPr>
          <w:b/>
          <w:sz w:val="30"/>
          <w:szCs w:val="30"/>
        </w:rPr>
        <w:t>开设课程开设情况</w:t>
      </w:r>
    </w:p>
    <w:p>
      <w:pPr>
        <w:spacing w:line="560" w:lineRule="exact"/>
        <w:ind w:firstLine="600" w:firstLineChars="200"/>
        <w:rPr>
          <w:sz w:val="30"/>
          <w:szCs w:val="30"/>
        </w:rPr>
      </w:pPr>
      <w:r>
        <w:rPr>
          <w:sz w:val="30"/>
          <w:szCs w:val="30"/>
        </w:rPr>
        <w:t>（1）专业基础课程的开设</w:t>
      </w:r>
    </w:p>
    <w:p>
      <w:pPr>
        <w:spacing w:line="288" w:lineRule="auto"/>
        <w:jc w:val="center"/>
        <w:rPr>
          <w:b/>
          <w:sz w:val="30"/>
          <w:szCs w:val="30"/>
        </w:rPr>
      </w:pPr>
    </w:p>
    <w:p>
      <w:pPr>
        <w:spacing w:line="288" w:lineRule="auto"/>
        <w:jc w:val="center"/>
        <w:rPr>
          <w:rFonts w:eastAsia="黑体"/>
          <w:b/>
          <w:sz w:val="28"/>
          <w:szCs w:val="30"/>
        </w:rPr>
      </w:pPr>
      <w:r>
        <w:rPr>
          <w:rFonts w:eastAsia="黑体"/>
          <w:b/>
          <w:sz w:val="28"/>
          <w:szCs w:val="30"/>
        </w:rPr>
        <w:drawing>
          <wp:inline distT="0" distB="0" distL="0" distR="0">
            <wp:extent cx="5305425" cy="466725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pPr>
        <w:spacing w:line="560" w:lineRule="exact"/>
        <w:jc w:val="center"/>
        <w:rPr>
          <w:rFonts w:eastAsia="黑体"/>
          <w:b/>
          <w:sz w:val="30"/>
          <w:szCs w:val="30"/>
        </w:rPr>
      </w:pPr>
      <w:r>
        <w:rPr>
          <w:b/>
          <w:sz w:val="24"/>
          <w:szCs w:val="24"/>
        </w:rPr>
        <w:t>图5-6 专</w:t>
      </w:r>
      <w:r>
        <w:rPr>
          <w:b/>
          <w:sz w:val="30"/>
          <w:szCs w:val="30"/>
        </w:rPr>
        <w:t>业基础课程的开设（25所学校）</w:t>
      </w:r>
    </w:p>
    <w:p>
      <w:pPr>
        <w:spacing w:line="560" w:lineRule="exact"/>
        <w:ind w:firstLine="600" w:firstLineChars="200"/>
        <w:rPr>
          <w:sz w:val="30"/>
          <w:szCs w:val="30"/>
        </w:rPr>
      </w:pPr>
      <w:r>
        <w:rPr>
          <w:sz w:val="30"/>
          <w:szCs w:val="30"/>
        </w:rPr>
        <w:t>由于各校对专业基础课的界定不完全一致，在专业基础课程，专业核心课程甚至专业拓展课程之间有错位，以及同一门课名称有差异，所以专业基础课程差异较大；我们选择内容比较接近，开设面广，有代表性的课程做了分析，结果显示：管理学、市场营销、连锁经营管理在各院校均有开设。</w:t>
      </w:r>
      <w:bookmarkStart w:id="66" w:name="_Toc488169405"/>
    </w:p>
    <w:p>
      <w:pPr>
        <w:spacing w:line="560" w:lineRule="exact"/>
        <w:ind w:firstLine="600" w:firstLineChars="200"/>
        <w:rPr>
          <w:sz w:val="30"/>
          <w:szCs w:val="30"/>
        </w:rPr>
      </w:pPr>
      <w:r>
        <w:rPr>
          <w:sz w:val="30"/>
          <w:szCs w:val="30"/>
        </w:rPr>
        <w:t>（2）专业核心课程的</w:t>
      </w:r>
      <w:bookmarkEnd w:id="66"/>
      <w:r>
        <w:rPr>
          <w:sz w:val="30"/>
          <w:szCs w:val="30"/>
        </w:rPr>
        <w:t>开设</w:t>
      </w:r>
    </w:p>
    <w:p>
      <w:pPr>
        <w:spacing w:line="288" w:lineRule="auto"/>
        <w:jc w:val="center"/>
        <w:rPr>
          <w:b/>
          <w:sz w:val="28"/>
          <w:szCs w:val="30"/>
        </w:rPr>
      </w:pPr>
      <w:r>
        <w:rPr>
          <w:b/>
          <w:sz w:val="28"/>
          <w:szCs w:val="30"/>
        </w:rPr>
        <w:drawing>
          <wp:inline distT="0" distB="0" distL="0" distR="0">
            <wp:extent cx="5018405" cy="4965065"/>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pPr>
        <w:spacing w:line="560" w:lineRule="exact"/>
        <w:jc w:val="center"/>
        <w:rPr>
          <w:rFonts w:eastAsia="宋体"/>
          <w:kern w:val="0"/>
          <w:sz w:val="24"/>
          <w:szCs w:val="24"/>
        </w:rPr>
      </w:pPr>
      <w:r>
        <w:rPr>
          <w:b/>
          <w:sz w:val="24"/>
          <w:szCs w:val="24"/>
        </w:rPr>
        <w:t>图5-7 专业核心课程的开设（25所学校）</w:t>
      </w:r>
    </w:p>
    <w:p>
      <w:pPr>
        <w:spacing w:line="560" w:lineRule="exact"/>
        <w:ind w:firstLine="600" w:firstLineChars="200"/>
        <w:rPr>
          <w:sz w:val="30"/>
          <w:szCs w:val="30"/>
        </w:rPr>
      </w:pPr>
      <w:r>
        <w:rPr>
          <w:sz w:val="30"/>
          <w:szCs w:val="30"/>
        </w:rPr>
        <w:t>在专业核心课程方面，连锁企业品类管理由于其与全球同步的标准化体系，在所调研的院校中基本全部开设，门店营运管理，采购管理，门店开发与设计等课程开设面较广。</w:t>
      </w:r>
      <w:bookmarkStart w:id="67" w:name="_Toc488169406"/>
    </w:p>
    <w:p>
      <w:pPr>
        <w:spacing w:line="560" w:lineRule="exact"/>
        <w:ind w:firstLine="600" w:firstLineChars="200"/>
        <w:rPr>
          <w:sz w:val="30"/>
          <w:szCs w:val="30"/>
        </w:rPr>
      </w:pPr>
      <w:r>
        <w:rPr>
          <w:sz w:val="30"/>
          <w:szCs w:val="30"/>
        </w:rPr>
        <w:t>（3）专业拓展课程的开设</w:t>
      </w:r>
      <w:bookmarkEnd w:id="67"/>
    </w:p>
    <w:p>
      <w:pPr>
        <w:spacing w:line="560" w:lineRule="exact"/>
        <w:ind w:firstLine="600" w:firstLineChars="200"/>
        <w:rPr>
          <w:sz w:val="30"/>
          <w:szCs w:val="30"/>
        </w:rPr>
      </w:pPr>
      <w:r>
        <w:rPr>
          <w:sz w:val="30"/>
          <w:szCs w:val="30"/>
        </w:rPr>
        <w:t>在专业拓展课程方面：有的以业态为方向如购物中心管理实务，便利店经营管理，服装品牌与文化，时尚买手与营销，酒店管理实务，等；也有的适应互联网时代变化，如电子商务，网络零售，新媒体营销，零售数据挖掘；</w:t>
      </w:r>
      <w:r>
        <w:rPr>
          <w:rFonts w:hint="eastAsia"/>
          <w:sz w:val="30"/>
          <w:szCs w:val="30"/>
        </w:rPr>
        <w:t>也有</w:t>
      </w:r>
      <w:r>
        <w:rPr>
          <w:sz w:val="30"/>
          <w:szCs w:val="30"/>
        </w:rPr>
        <w:t>突出软件的使用，如CAD，Photoshop等。</w:t>
      </w:r>
    </w:p>
    <w:p>
      <w:pPr>
        <w:spacing w:line="288" w:lineRule="auto"/>
        <w:jc w:val="center"/>
        <w:rPr>
          <w:b/>
          <w:sz w:val="24"/>
          <w:szCs w:val="24"/>
        </w:rPr>
      </w:pPr>
    </w:p>
    <w:p>
      <w:pPr>
        <w:spacing w:line="560" w:lineRule="exact"/>
        <w:jc w:val="center"/>
        <w:rPr>
          <w:b/>
          <w:sz w:val="24"/>
          <w:szCs w:val="24"/>
        </w:rPr>
      </w:pPr>
      <w:r>
        <w:rPr>
          <w:b/>
          <w:sz w:val="24"/>
          <w:szCs w:val="24"/>
        </w:rPr>
        <w:t>表5-5 专业拓展课程的开设（25所学校）</w:t>
      </w:r>
    </w:p>
    <w:p>
      <w:pPr>
        <w:spacing w:line="288" w:lineRule="auto"/>
        <w:jc w:val="center"/>
        <w:rPr>
          <w:b/>
          <w:sz w:val="24"/>
          <w:szCs w:val="24"/>
        </w:rPr>
      </w:pPr>
      <w:r>
        <w:rPr>
          <w:sz w:val="28"/>
          <w:szCs w:val="30"/>
        </w:rPr>
        <w:drawing>
          <wp:inline distT="0" distB="0" distL="0" distR="0">
            <wp:extent cx="5252085" cy="6867525"/>
            <wp:effectExtent l="0" t="0" r="5715" b="0"/>
            <wp:docPr id="5" name="图片 21" descr="C:\Users\frecha\AppData\Roaming\Tencent\Users\413083136\QQ\WinTemp\RichOle\N~)CN2AH$}{$[OOBF{I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1" descr="C:\Users\frecha\AppData\Roaming\Tencent\Users\413083136\QQ\WinTemp\RichOle\N~)CN2AH$}{$[OOBF{IW~%D.png"/>
                    <pic:cNvPicPr>
                      <a:picLocks noChangeAspect="1" noChangeArrowheads="1"/>
                    </pic:cNvPicPr>
                  </pic:nvPicPr>
                  <pic:blipFill>
                    <a:blip r:embed="rId29">
                      <a:clrChange>
                        <a:clrFrom>
                          <a:srgbClr val="CAEACE"/>
                        </a:clrFrom>
                        <a:clrTo>
                          <a:srgbClr val="CAEACE">
                            <a:alpha val="0"/>
                          </a:srgbClr>
                        </a:clrTo>
                      </a:clrChange>
                      <a:extLst>
                        <a:ext uri="{28A0092B-C50C-407E-A947-70E740481C1C}">
                          <a14:useLocalDpi xmlns:a14="http://schemas.microsoft.com/office/drawing/2010/main" val="0"/>
                        </a:ext>
                      </a:extLst>
                    </a:blip>
                    <a:srcRect/>
                    <a:stretch>
                      <a:fillRect/>
                    </a:stretch>
                  </pic:blipFill>
                  <pic:spPr>
                    <a:xfrm>
                      <a:off x="0" y="0"/>
                      <a:ext cx="5252484" cy="6867747"/>
                    </a:xfrm>
                    <a:prstGeom prst="rect">
                      <a:avLst/>
                    </a:prstGeom>
                    <a:noFill/>
                    <a:ln>
                      <a:noFill/>
                    </a:ln>
                  </pic:spPr>
                </pic:pic>
              </a:graphicData>
            </a:graphic>
          </wp:inline>
        </w:drawing>
      </w:r>
    </w:p>
    <w:p>
      <w:pPr>
        <w:spacing w:line="560" w:lineRule="exact"/>
        <w:ind w:firstLine="600" w:firstLineChars="200"/>
        <w:rPr>
          <w:sz w:val="30"/>
          <w:szCs w:val="30"/>
        </w:rPr>
      </w:pPr>
      <w:bookmarkStart w:id="68" w:name="_Toc488169407"/>
      <w:r>
        <w:rPr>
          <w:sz w:val="30"/>
          <w:szCs w:val="30"/>
        </w:rPr>
        <w:t>（4）专业素质课程的开设</w:t>
      </w:r>
      <w:bookmarkEnd w:id="68"/>
    </w:p>
    <w:p>
      <w:pPr>
        <w:spacing w:line="560" w:lineRule="exact"/>
        <w:ind w:firstLine="600" w:firstLineChars="200"/>
        <w:rPr>
          <w:sz w:val="30"/>
          <w:szCs w:val="30"/>
        </w:rPr>
      </w:pPr>
      <w:r>
        <w:rPr>
          <w:sz w:val="30"/>
          <w:szCs w:val="30"/>
        </w:rPr>
        <w:t>专业素质类课程主要是学校的通识类课程，在思政类、外语类、数学类之外，各校还是做了积极探索，有的开设了夯实综合素养的品德实践、生活美学、国学精读、素质拓展等课程；还有的开设了以连锁企业文化认知、企业沙龙与领导力、企业文化等增强行业认知的企业类课程；也有的开设了创新创业课程；还有的突出了普通话，办公软件与设备使用等实用型课程。</w:t>
      </w:r>
    </w:p>
    <w:p>
      <w:pPr>
        <w:spacing w:line="560" w:lineRule="exact"/>
        <w:jc w:val="center"/>
        <w:rPr>
          <w:b/>
          <w:sz w:val="24"/>
          <w:szCs w:val="24"/>
        </w:rPr>
      </w:pPr>
      <w:r>
        <w:rPr>
          <w:b/>
          <w:sz w:val="24"/>
          <w:szCs w:val="24"/>
        </w:rPr>
        <w:t>表5-6 专业素质课程的开设（25所学校）</w:t>
      </w:r>
    </w:p>
    <w:p>
      <w:pPr>
        <w:spacing w:line="288" w:lineRule="auto"/>
        <w:jc w:val="center"/>
        <w:rPr>
          <w:b/>
          <w:sz w:val="24"/>
          <w:szCs w:val="24"/>
        </w:rPr>
      </w:pPr>
      <w:r>
        <w:rPr>
          <w:b/>
          <w:sz w:val="24"/>
          <w:szCs w:val="24"/>
        </w:rPr>
        <w:drawing>
          <wp:inline distT="0" distB="0" distL="0" distR="0">
            <wp:extent cx="5252085" cy="6123940"/>
            <wp:effectExtent l="0" t="0" r="5715" b="0"/>
            <wp:docPr id="22" name="图片 22" descr="C:\Users\frecha\AppData\Roaming\Tencent\Users\413083136\QQ\WinTemp\RichOle\4YORC8V_6[HUWU8`W}LUIM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frecha\AppData\Roaming\Tencent\Users\413083136\QQ\WinTemp\RichOle\4YORC8V_6[HUWU8`W}LUIMK.png"/>
                    <pic:cNvPicPr>
                      <a:picLocks noChangeAspect="1" noChangeArrowheads="1"/>
                    </pic:cNvPicPr>
                  </pic:nvPicPr>
                  <pic:blipFill>
                    <a:blip r:embed="rId30">
                      <a:clrChange>
                        <a:clrFrom>
                          <a:srgbClr val="CAEACE"/>
                        </a:clrFrom>
                        <a:clrTo>
                          <a:srgbClr val="CAEACE">
                            <a:alpha val="0"/>
                          </a:srgbClr>
                        </a:clrTo>
                      </a:clrChange>
                      <a:extLst>
                        <a:ext uri="{28A0092B-C50C-407E-A947-70E740481C1C}">
                          <a14:useLocalDpi xmlns:a14="http://schemas.microsoft.com/office/drawing/2010/main" val="0"/>
                        </a:ext>
                      </a:extLst>
                    </a:blip>
                    <a:srcRect/>
                    <a:stretch>
                      <a:fillRect/>
                    </a:stretch>
                  </pic:blipFill>
                  <pic:spPr>
                    <a:xfrm>
                      <a:off x="0" y="0"/>
                      <a:ext cx="5252085" cy="6123940"/>
                    </a:xfrm>
                    <a:prstGeom prst="rect">
                      <a:avLst/>
                    </a:prstGeom>
                    <a:noFill/>
                    <a:ln>
                      <a:noFill/>
                    </a:ln>
                  </pic:spPr>
                </pic:pic>
              </a:graphicData>
            </a:graphic>
          </wp:inline>
        </w:drawing>
      </w:r>
    </w:p>
    <w:p>
      <w:pPr>
        <w:spacing w:line="560" w:lineRule="exact"/>
        <w:ind w:firstLine="600" w:firstLineChars="200"/>
        <w:rPr>
          <w:sz w:val="30"/>
          <w:szCs w:val="30"/>
        </w:rPr>
      </w:pPr>
      <w:bookmarkStart w:id="69" w:name="_Toc492851735"/>
      <w:bookmarkStart w:id="70" w:name="_Toc493777273"/>
      <w:bookmarkStart w:id="71" w:name="_Hlk488237984"/>
      <w:r>
        <w:rPr>
          <w:sz w:val="30"/>
          <w:szCs w:val="30"/>
        </w:rPr>
        <w:t>调查显示，不少毕业生反映，在学校设置的专业课程中无法获得没有体现当前的课程学习无法获得新的商业环境下的工商企业管理人才需要具备的新能力，例如新商业模式的相关知识和</w:t>
      </w:r>
      <w:r>
        <w:rPr>
          <w:rFonts w:hint="eastAsia"/>
          <w:sz w:val="30"/>
          <w:szCs w:val="30"/>
        </w:rPr>
        <w:t>线上</w:t>
      </w:r>
      <w:r>
        <w:rPr>
          <w:sz w:val="30"/>
          <w:szCs w:val="30"/>
        </w:rPr>
        <w:t>线下</w:t>
      </w:r>
      <w:r>
        <w:rPr>
          <w:rFonts w:hint="eastAsia"/>
          <w:sz w:val="30"/>
          <w:szCs w:val="30"/>
        </w:rPr>
        <w:t>衔接</w:t>
      </w:r>
      <w:r>
        <w:rPr>
          <w:sz w:val="30"/>
          <w:szCs w:val="30"/>
        </w:rPr>
        <w:t>以及数据化经营的相关技能培养等课程有所欠缺。</w:t>
      </w:r>
    </w:p>
    <w:p>
      <w:pPr>
        <w:pStyle w:val="31"/>
        <w:numPr>
          <w:ilvl w:val="0"/>
          <w:numId w:val="0"/>
        </w:numPr>
        <w:spacing w:line="560" w:lineRule="exact"/>
        <w:ind w:firstLine="602" w:firstLineChars="200"/>
        <w:outlineLvl w:val="1"/>
        <w:rPr>
          <w:rFonts w:eastAsia="仿宋_GB2312"/>
          <w:szCs w:val="30"/>
        </w:rPr>
      </w:pPr>
      <w:bookmarkStart w:id="72" w:name="_Toc494016494"/>
      <w:r>
        <w:rPr>
          <w:rFonts w:eastAsia="仿宋_GB2312"/>
          <w:szCs w:val="30"/>
        </w:rPr>
        <w:t>（六）专业建设中最需要解决的突出问题</w:t>
      </w:r>
      <w:bookmarkEnd w:id="69"/>
      <w:bookmarkEnd w:id="70"/>
      <w:bookmarkEnd w:id="72"/>
    </w:p>
    <w:p>
      <w:pPr>
        <w:spacing w:line="560" w:lineRule="exact"/>
        <w:ind w:firstLine="600" w:firstLineChars="200"/>
        <w:rPr>
          <w:sz w:val="30"/>
          <w:szCs w:val="30"/>
        </w:rPr>
      </w:pPr>
      <w:r>
        <w:rPr>
          <w:sz w:val="30"/>
          <w:szCs w:val="30"/>
        </w:rPr>
        <w:t>调研显示专业建设中最需要解决的是教师实践能力弱、校企合作深度不够、教学硬件投入不足和生源质量不高以及教师信息化教学意愿与能力不强等问题。</w:t>
      </w:r>
    </w:p>
    <w:p>
      <w:pPr>
        <w:spacing w:line="560" w:lineRule="exact"/>
        <w:jc w:val="center"/>
        <w:rPr>
          <w:b/>
          <w:sz w:val="24"/>
          <w:szCs w:val="24"/>
        </w:rPr>
      </w:pPr>
      <w:r>
        <w:rPr>
          <w:b/>
          <w:sz w:val="24"/>
          <w:szCs w:val="24"/>
        </w:rPr>
        <w:t>表5-7 专业建设最需要解决的问题</w:t>
      </w:r>
    </w:p>
    <w:tbl>
      <w:tblPr>
        <w:tblStyle w:val="22"/>
        <w:tblW w:w="7845" w:type="dxa"/>
        <w:jc w:val="center"/>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
      <w:tblGrid>
        <w:gridCol w:w="3958"/>
        <w:gridCol w:w="770"/>
        <w:gridCol w:w="3117"/>
      </w:tblGrid>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E0E0E0"/>
            <w:vAlign w:val="center"/>
          </w:tcPr>
          <w:p>
            <w:pPr>
              <w:rPr>
                <w:rFonts w:eastAsiaTheme="minorEastAsia"/>
                <w:kern w:val="0"/>
                <w:sz w:val="24"/>
                <w:szCs w:val="24"/>
              </w:rPr>
            </w:pPr>
            <w:r>
              <w:rPr>
                <w:sz w:val="24"/>
                <w:szCs w:val="24"/>
              </w:rPr>
              <w:t>选项</w:t>
            </w:r>
          </w:p>
        </w:tc>
        <w:tc>
          <w:tcPr>
            <w:tcW w:w="770"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小计</w:t>
            </w:r>
          </w:p>
        </w:tc>
        <w:tc>
          <w:tcPr>
            <w:tcW w:w="3117"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比例</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教师实践能力弱</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19</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1022985" cy="116205"/>
                  <wp:effectExtent l="0" t="0" r="5715" b="0"/>
                  <wp:docPr id="3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022985" cy="116205"/>
                          </a:xfrm>
                          <a:prstGeom prst="rect">
                            <a:avLst/>
                          </a:prstGeom>
                          <a:noFill/>
                          <a:ln>
                            <a:noFill/>
                          </a:ln>
                        </pic:spPr>
                      </pic:pic>
                    </a:graphicData>
                  </a:graphic>
                </wp:inline>
              </w:drawing>
            </w:r>
            <w:r>
              <w:rPr>
                <w:sz w:val="24"/>
                <w:szCs w:val="24"/>
              </w:rPr>
              <w:drawing>
                <wp:inline distT="0" distB="0" distL="0" distR="0">
                  <wp:extent cx="333375" cy="116205"/>
                  <wp:effectExtent l="0" t="0" r="9525" b="0"/>
                  <wp:docPr id="3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33375" cy="116205"/>
                          </a:xfrm>
                          <a:prstGeom prst="rect">
                            <a:avLst/>
                          </a:prstGeom>
                          <a:noFill/>
                          <a:ln>
                            <a:noFill/>
                          </a:ln>
                        </pic:spPr>
                      </pic:pic>
                    </a:graphicData>
                  </a:graphic>
                </wp:inline>
              </w:drawing>
            </w:r>
            <w:r>
              <w:rPr>
                <w:sz w:val="24"/>
                <w:szCs w:val="24"/>
              </w:rPr>
              <w:t>76%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教师知识水平不足</w:t>
            </w:r>
          </w:p>
        </w:tc>
        <w:tc>
          <w:tcPr>
            <w:tcW w:w="770"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4</w:t>
            </w:r>
          </w:p>
        </w:tc>
        <w:tc>
          <w:tcPr>
            <w:tcW w:w="3117"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208915" cy="116205"/>
                  <wp:effectExtent l="0" t="0" r="635" b="0"/>
                  <wp:docPr id="3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8915" cy="116205"/>
                          </a:xfrm>
                          <a:prstGeom prst="rect">
                            <a:avLst/>
                          </a:prstGeom>
                          <a:noFill/>
                          <a:ln>
                            <a:noFill/>
                          </a:ln>
                        </pic:spPr>
                      </pic:pic>
                    </a:graphicData>
                  </a:graphic>
                </wp:inline>
              </w:drawing>
            </w:r>
            <w:r>
              <w:rPr>
                <w:sz w:val="24"/>
                <w:szCs w:val="24"/>
              </w:rPr>
              <w:drawing>
                <wp:inline distT="0" distB="0" distL="0" distR="0">
                  <wp:extent cx="1146810" cy="116205"/>
                  <wp:effectExtent l="0" t="0" r="0" b="0"/>
                  <wp:docPr id="3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146810" cy="116205"/>
                          </a:xfrm>
                          <a:prstGeom prst="rect">
                            <a:avLst/>
                          </a:prstGeom>
                          <a:noFill/>
                          <a:ln>
                            <a:noFill/>
                          </a:ln>
                        </pic:spPr>
                      </pic:pic>
                    </a:graphicData>
                  </a:graphic>
                </wp:inline>
              </w:drawing>
            </w:r>
            <w:r>
              <w:rPr>
                <w:sz w:val="24"/>
                <w:szCs w:val="24"/>
              </w:rPr>
              <w:t>16%</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教师授课技能差</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2</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108585" cy="116205"/>
                  <wp:effectExtent l="0" t="0" r="5715" b="0"/>
                  <wp:docPr id="4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8585" cy="116205"/>
                          </a:xfrm>
                          <a:prstGeom prst="rect">
                            <a:avLst/>
                          </a:prstGeom>
                          <a:noFill/>
                          <a:ln>
                            <a:noFill/>
                          </a:ln>
                        </pic:spPr>
                      </pic:pic>
                    </a:graphicData>
                  </a:graphic>
                </wp:inline>
              </w:drawing>
            </w:r>
            <w:r>
              <w:rPr>
                <w:sz w:val="24"/>
                <w:szCs w:val="24"/>
              </w:rPr>
              <w:drawing>
                <wp:inline distT="0" distB="0" distL="0" distR="0">
                  <wp:extent cx="1247775" cy="116205"/>
                  <wp:effectExtent l="0" t="0" r="9525" b="0"/>
                  <wp:docPr id="4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47775" cy="116205"/>
                          </a:xfrm>
                          <a:prstGeom prst="rect">
                            <a:avLst/>
                          </a:prstGeom>
                          <a:noFill/>
                          <a:ln>
                            <a:noFill/>
                          </a:ln>
                        </pic:spPr>
                      </pic:pic>
                    </a:graphicData>
                  </a:graphic>
                </wp:inline>
              </w:drawing>
            </w:r>
            <w:r>
              <w:rPr>
                <w:sz w:val="24"/>
                <w:szCs w:val="24"/>
              </w:rPr>
              <w:t>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教师信息化教学意愿与能力不强</w:t>
            </w:r>
          </w:p>
        </w:tc>
        <w:tc>
          <w:tcPr>
            <w:tcW w:w="770"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13</w:t>
            </w:r>
          </w:p>
        </w:tc>
        <w:tc>
          <w:tcPr>
            <w:tcW w:w="3117"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697230" cy="116205"/>
                  <wp:effectExtent l="0" t="0" r="7620" b="0"/>
                  <wp:docPr id="4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97230" cy="116205"/>
                          </a:xfrm>
                          <a:prstGeom prst="rect">
                            <a:avLst/>
                          </a:prstGeom>
                          <a:noFill/>
                          <a:ln>
                            <a:noFill/>
                          </a:ln>
                        </pic:spPr>
                      </pic:pic>
                    </a:graphicData>
                  </a:graphic>
                </wp:inline>
              </w:drawing>
            </w:r>
            <w:r>
              <w:rPr>
                <w:sz w:val="24"/>
                <w:szCs w:val="24"/>
              </w:rPr>
              <w:drawing>
                <wp:inline distT="0" distB="0" distL="0" distR="0">
                  <wp:extent cx="658495" cy="116205"/>
                  <wp:effectExtent l="0" t="0" r="8255" b="0"/>
                  <wp:docPr id="4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58495" cy="116205"/>
                          </a:xfrm>
                          <a:prstGeom prst="rect">
                            <a:avLst/>
                          </a:prstGeom>
                          <a:noFill/>
                          <a:ln>
                            <a:noFill/>
                          </a:ln>
                        </pic:spPr>
                      </pic:pic>
                    </a:graphicData>
                  </a:graphic>
                </wp:inline>
              </w:drawing>
            </w:r>
            <w:r>
              <w:rPr>
                <w:sz w:val="24"/>
                <w:szCs w:val="24"/>
              </w:rPr>
              <w:t>52%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专业定位不准确</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2</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108585" cy="116205"/>
                  <wp:effectExtent l="0" t="0" r="5715" b="0"/>
                  <wp:docPr id="4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8585" cy="116205"/>
                          </a:xfrm>
                          <a:prstGeom prst="rect">
                            <a:avLst/>
                          </a:prstGeom>
                          <a:noFill/>
                          <a:ln>
                            <a:noFill/>
                          </a:ln>
                        </pic:spPr>
                      </pic:pic>
                    </a:graphicData>
                  </a:graphic>
                </wp:inline>
              </w:drawing>
            </w:r>
            <w:r>
              <w:rPr>
                <w:sz w:val="24"/>
                <w:szCs w:val="24"/>
              </w:rPr>
              <w:drawing>
                <wp:inline distT="0" distB="0" distL="0" distR="0">
                  <wp:extent cx="1247775" cy="116205"/>
                  <wp:effectExtent l="0" t="0" r="9525" b="0"/>
                  <wp:docPr id="4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47775" cy="116205"/>
                          </a:xfrm>
                          <a:prstGeom prst="rect">
                            <a:avLst/>
                          </a:prstGeom>
                          <a:noFill/>
                          <a:ln>
                            <a:noFill/>
                          </a:ln>
                        </pic:spPr>
                      </pic:pic>
                    </a:graphicData>
                  </a:graphic>
                </wp:inline>
              </w:drawing>
            </w:r>
            <w:r>
              <w:rPr>
                <w:sz w:val="24"/>
                <w:szCs w:val="24"/>
              </w:rPr>
              <w:t>8%</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课程设置不合理</w:t>
            </w:r>
          </w:p>
        </w:tc>
        <w:tc>
          <w:tcPr>
            <w:tcW w:w="770"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w:t>
            </w:r>
          </w:p>
        </w:tc>
        <w:tc>
          <w:tcPr>
            <w:tcW w:w="3117"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46355" cy="116205"/>
                  <wp:effectExtent l="0" t="0" r="0" b="0"/>
                  <wp:docPr id="4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355" cy="116205"/>
                          </a:xfrm>
                          <a:prstGeom prst="rect">
                            <a:avLst/>
                          </a:prstGeom>
                          <a:noFill/>
                          <a:ln>
                            <a:noFill/>
                          </a:ln>
                        </pic:spPr>
                      </pic:pic>
                    </a:graphicData>
                  </a:graphic>
                </wp:inline>
              </w:drawing>
            </w:r>
            <w:r>
              <w:rPr>
                <w:sz w:val="24"/>
                <w:szCs w:val="24"/>
              </w:rPr>
              <w:drawing>
                <wp:inline distT="0" distB="0" distL="0" distR="0">
                  <wp:extent cx="1301750" cy="116205"/>
                  <wp:effectExtent l="0" t="0" r="0" b="0"/>
                  <wp:docPr id="6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301750" cy="116205"/>
                          </a:xfrm>
                          <a:prstGeom prst="rect">
                            <a:avLst/>
                          </a:prstGeom>
                          <a:noFill/>
                          <a:ln>
                            <a:noFill/>
                          </a:ln>
                        </pic:spPr>
                      </pic:pic>
                    </a:graphicData>
                  </a:graphic>
                </wp:inline>
              </w:drawing>
            </w:r>
            <w:r>
              <w:rPr>
                <w:sz w:val="24"/>
                <w:szCs w:val="24"/>
              </w:rPr>
              <w:t>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教学硬件设备不足</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16</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860425" cy="116205"/>
                  <wp:effectExtent l="0" t="0" r="0" b="0"/>
                  <wp:docPr id="7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60425" cy="116205"/>
                          </a:xfrm>
                          <a:prstGeom prst="rect">
                            <a:avLst/>
                          </a:prstGeom>
                          <a:noFill/>
                          <a:ln>
                            <a:noFill/>
                          </a:ln>
                        </pic:spPr>
                      </pic:pic>
                    </a:graphicData>
                  </a:graphic>
                </wp:inline>
              </w:drawing>
            </w:r>
            <w:r>
              <w:rPr>
                <w:sz w:val="24"/>
                <w:szCs w:val="24"/>
              </w:rPr>
              <w:drawing>
                <wp:inline distT="0" distB="0" distL="0" distR="0">
                  <wp:extent cx="495935" cy="116205"/>
                  <wp:effectExtent l="0" t="0" r="0" b="0"/>
                  <wp:docPr id="7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95935" cy="116205"/>
                          </a:xfrm>
                          <a:prstGeom prst="rect">
                            <a:avLst/>
                          </a:prstGeom>
                          <a:noFill/>
                          <a:ln>
                            <a:noFill/>
                          </a:ln>
                        </pic:spPr>
                      </pic:pic>
                    </a:graphicData>
                  </a:graphic>
                </wp:inline>
              </w:drawing>
            </w:r>
            <w:r>
              <w:rPr>
                <w:sz w:val="24"/>
                <w:szCs w:val="24"/>
              </w:rPr>
              <w:t>64%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校企合作深度不够</w:t>
            </w:r>
          </w:p>
        </w:tc>
        <w:tc>
          <w:tcPr>
            <w:tcW w:w="770"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18</w:t>
            </w:r>
          </w:p>
        </w:tc>
        <w:tc>
          <w:tcPr>
            <w:tcW w:w="3117"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968375" cy="116205"/>
                  <wp:effectExtent l="0" t="0" r="3175" b="0"/>
                  <wp:docPr id="7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68375" cy="116205"/>
                          </a:xfrm>
                          <a:prstGeom prst="rect">
                            <a:avLst/>
                          </a:prstGeom>
                          <a:noFill/>
                          <a:ln>
                            <a:noFill/>
                          </a:ln>
                        </pic:spPr>
                      </pic:pic>
                    </a:graphicData>
                  </a:graphic>
                </wp:inline>
              </w:drawing>
            </w:r>
            <w:r>
              <w:rPr>
                <w:sz w:val="24"/>
                <w:szCs w:val="24"/>
              </w:rPr>
              <w:drawing>
                <wp:inline distT="0" distB="0" distL="0" distR="0">
                  <wp:extent cx="379730" cy="116205"/>
                  <wp:effectExtent l="0" t="0" r="1270" b="0"/>
                  <wp:docPr id="7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79730" cy="116205"/>
                          </a:xfrm>
                          <a:prstGeom prst="rect">
                            <a:avLst/>
                          </a:prstGeom>
                          <a:noFill/>
                          <a:ln>
                            <a:noFill/>
                          </a:ln>
                        </pic:spPr>
                      </pic:pic>
                    </a:graphicData>
                  </a:graphic>
                </wp:inline>
              </w:drawing>
            </w:r>
            <w:r>
              <w:rPr>
                <w:sz w:val="24"/>
                <w:szCs w:val="24"/>
              </w:rPr>
              <w:t>72%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资金不足</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13</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697230" cy="116205"/>
                  <wp:effectExtent l="0" t="0" r="7620" b="0"/>
                  <wp:docPr id="7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97230" cy="116205"/>
                          </a:xfrm>
                          <a:prstGeom prst="rect">
                            <a:avLst/>
                          </a:prstGeom>
                          <a:noFill/>
                          <a:ln>
                            <a:noFill/>
                          </a:ln>
                        </pic:spPr>
                      </pic:pic>
                    </a:graphicData>
                  </a:graphic>
                </wp:inline>
              </w:drawing>
            </w:r>
            <w:r>
              <w:rPr>
                <w:sz w:val="24"/>
                <w:szCs w:val="24"/>
              </w:rPr>
              <w:drawing>
                <wp:inline distT="0" distB="0" distL="0" distR="0">
                  <wp:extent cx="658495" cy="116205"/>
                  <wp:effectExtent l="0" t="0" r="8255" b="0"/>
                  <wp:docPr id="7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58495" cy="116205"/>
                          </a:xfrm>
                          <a:prstGeom prst="rect">
                            <a:avLst/>
                          </a:prstGeom>
                          <a:noFill/>
                          <a:ln>
                            <a:noFill/>
                          </a:ln>
                        </pic:spPr>
                      </pic:pic>
                    </a:graphicData>
                  </a:graphic>
                </wp:inline>
              </w:drawing>
            </w:r>
            <w:r>
              <w:rPr>
                <w:sz w:val="24"/>
                <w:szCs w:val="24"/>
              </w:rPr>
              <w:t>52%</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t>生源质量不高</w:t>
            </w:r>
          </w:p>
        </w:tc>
        <w:tc>
          <w:tcPr>
            <w:tcW w:w="770" w:type="dxa"/>
            <w:tcBorders>
              <w:top w:val="single" w:color="D7D7D7" w:sz="4" w:space="0"/>
              <w:left w:val="single" w:color="D7D7D7" w:sz="4" w:space="0"/>
              <w:bottom w:val="single" w:color="D7D7D7" w:sz="4" w:space="0"/>
              <w:right w:val="single" w:color="D7D7D7" w:sz="4" w:space="0"/>
            </w:tcBorders>
            <w:shd w:val="clear" w:color="auto" w:fill="F9F9F9"/>
            <w:vAlign w:val="center"/>
          </w:tcPr>
          <w:p>
            <w:pPr>
              <w:jc w:val="center"/>
              <w:rPr>
                <w:sz w:val="24"/>
                <w:szCs w:val="24"/>
              </w:rPr>
            </w:pPr>
            <w:r>
              <w:rPr>
                <w:sz w:val="24"/>
                <w:szCs w:val="24"/>
              </w:rPr>
              <w:t>16</w:t>
            </w:r>
          </w:p>
        </w:tc>
        <w:tc>
          <w:tcPr>
            <w:tcW w:w="3117" w:type="dxa"/>
            <w:tcBorders>
              <w:top w:val="single" w:color="D7D7D7" w:sz="4" w:space="0"/>
              <w:left w:val="single" w:color="D7D7D7" w:sz="4" w:space="0"/>
              <w:bottom w:val="single" w:color="D7D7D7" w:sz="4" w:space="0"/>
              <w:right w:val="single" w:color="D7D7D7" w:sz="4" w:space="0"/>
            </w:tcBorders>
            <w:shd w:val="clear" w:color="auto" w:fill="F9F9F9"/>
            <w:vAlign w:val="center"/>
          </w:tcPr>
          <w:p>
            <w:pPr>
              <w:rPr>
                <w:sz w:val="24"/>
                <w:szCs w:val="24"/>
              </w:rPr>
            </w:pPr>
            <w:r>
              <w:rPr>
                <w:sz w:val="24"/>
                <w:szCs w:val="24"/>
              </w:rPr>
              <w:drawing>
                <wp:inline distT="0" distB="0" distL="0" distR="0">
                  <wp:extent cx="860425" cy="116205"/>
                  <wp:effectExtent l="0" t="0" r="0" b="0"/>
                  <wp:docPr id="7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60425" cy="116205"/>
                          </a:xfrm>
                          <a:prstGeom prst="rect">
                            <a:avLst/>
                          </a:prstGeom>
                          <a:noFill/>
                          <a:ln>
                            <a:noFill/>
                          </a:ln>
                        </pic:spPr>
                      </pic:pic>
                    </a:graphicData>
                  </a:graphic>
                </wp:inline>
              </w:drawing>
            </w:r>
            <w:r>
              <w:rPr>
                <w:sz w:val="24"/>
                <w:szCs w:val="24"/>
              </w:rPr>
              <w:drawing>
                <wp:inline distT="0" distB="0" distL="0" distR="0">
                  <wp:extent cx="495935" cy="116205"/>
                  <wp:effectExtent l="0" t="0" r="0" b="0"/>
                  <wp:docPr id="7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95935" cy="116205"/>
                          </a:xfrm>
                          <a:prstGeom prst="rect">
                            <a:avLst/>
                          </a:prstGeom>
                          <a:noFill/>
                          <a:ln>
                            <a:noFill/>
                          </a:ln>
                        </pic:spPr>
                      </pic:pic>
                    </a:graphicData>
                  </a:graphic>
                </wp:inline>
              </w:drawing>
            </w:r>
            <w:r>
              <w:rPr>
                <w:sz w:val="24"/>
                <w:szCs w:val="24"/>
              </w:rPr>
              <w:t>64%</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t>其他</w:t>
            </w:r>
          </w:p>
        </w:tc>
        <w:tc>
          <w:tcPr>
            <w:tcW w:w="770" w:type="dxa"/>
            <w:tcBorders>
              <w:top w:val="single" w:color="D7D7D7" w:sz="4" w:space="0"/>
              <w:left w:val="single" w:color="D7D7D7" w:sz="4" w:space="0"/>
              <w:bottom w:val="single" w:color="D7D7D7" w:sz="4" w:space="0"/>
              <w:right w:val="single" w:color="D7D7D7" w:sz="4" w:space="0"/>
            </w:tcBorders>
            <w:shd w:val="clear" w:color="auto" w:fill="FFFFFF"/>
            <w:vAlign w:val="center"/>
          </w:tcPr>
          <w:p>
            <w:pPr>
              <w:jc w:val="center"/>
              <w:rPr>
                <w:sz w:val="24"/>
                <w:szCs w:val="24"/>
              </w:rPr>
            </w:pPr>
            <w:r>
              <w:rPr>
                <w:sz w:val="24"/>
                <w:szCs w:val="24"/>
              </w:rPr>
              <w:t>0</w:t>
            </w:r>
          </w:p>
        </w:tc>
        <w:tc>
          <w:tcPr>
            <w:tcW w:w="3117" w:type="dxa"/>
            <w:tcBorders>
              <w:top w:val="single" w:color="D7D7D7" w:sz="4" w:space="0"/>
              <w:left w:val="single" w:color="D7D7D7" w:sz="4" w:space="0"/>
              <w:bottom w:val="single" w:color="D7D7D7" w:sz="4" w:space="0"/>
              <w:right w:val="single" w:color="D7D7D7" w:sz="4" w:space="0"/>
            </w:tcBorders>
            <w:shd w:val="clear" w:color="auto" w:fill="FFFFFF"/>
            <w:vAlign w:val="center"/>
          </w:tcPr>
          <w:p>
            <w:pPr>
              <w:rPr>
                <w:sz w:val="24"/>
                <w:szCs w:val="24"/>
              </w:rPr>
            </w:pPr>
            <w:r>
              <w:rPr>
                <w:sz w:val="24"/>
                <w:szCs w:val="24"/>
              </w:rPr>
              <w:drawing>
                <wp:inline distT="0" distB="0" distL="0" distR="0">
                  <wp:extent cx="1356360" cy="116205"/>
                  <wp:effectExtent l="0" t="0" r="0" b="0"/>
                  <wp:docPr id="7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356360" cy="116205"/>
                          </a:xfrm>
                          <a:prstGeom prst="rect">
                            <a:avLst/>
                          </a:prstGeom>
                          <a:noFill/>
                          <a:ln>
                            <a:noFill/>
                          </a:ln>
                        </pic:spPr>
                      </pic:pic>
                    </a:graphicData>
                  </a:graphic>
                </wp:inline>
              </w:drawing>
            </w:r>
            <w:r>
              <w:rPr>
                <w:sz w:val="24"/>
                <w:szCs w:val="24"/>
              </w:rPr>
              <w:t>0%</w:t>
            </w:r>
          </w:p>
        </w:tc>
      </w:tr>
      <w:tr>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fixed"/>
          <w:tblCellMar>
            <w:top w:w="0" w:type="dxa"/>
            <w:left w:w="108" w:type="dxa"/>
            <w:bottom w:w="0" w:type="dxa"/>
            <w:right w:w="108" w:type="dxa"/>
          </w:tblCellMar>
        </w:tblPrEx>
        <w:trPr>
          <w:trHeight w:val="420" w:hRule="atLeast"/>
          <w:jc w:val="center"/>
        </w:trPr>
        <w:tc>
          <w:tcPr>
            <w:tcW w:w="3958" w:type="dxa"/>
            <w:tcBorders>
              <w:top w:val="single" w:color="D7D7D7" w:sz="4" w:space="0"/>
              <w:left w:val="single" w:color="D7D7D7" w:sz="4" w:space="0"/>
              <w:bottom w:val="single" w:color="D7D7D7" w:sz="4" w:space="0"/>
              <w:right w:val="single" w:color="D7D7D7" w:sz="4" w:space="0"/>
            </w:tcBorders>
            <w:shd w:val="clear" w:color="auto" w:fill="E0E0E0"/>
            <w:vAlign w:val="center"/>
          </w:tcPr>
          <w:p>
            <w:pPr>
              <w:rPr>
                <w:sz w:val="24"/>
                <w:szCs w:val="24"/>
              </w:rPr>
            </w:pPr>
            <w:r>
              <w:rPr>
                <w:sz w:val="24"/>
                <w:szCs w:val="24"/>
              </w:rPr>
              <w:t>本题有效填写人次</w:t>
            </w:r>
          </w:p>
        </w:tc>
        <w:tc>
          <w:tcPr>
            <w:tcW w:w="770" w:type="dxa"/>
            <w:tcBorders>
              <w:top w:val="single" w:color="D7D7D7" w:sz="4" w:space="0"/>
              <w:left w:val="single" w:color="D7D7D7" w:sz="4" w:space="0"/>
              <w:bottom w:val="single" w:color="D7D7D7" w:sz="4" w:space="0"/>
              <w:right w:val="single" w:color="D7D7D7" w:sz="4" w:space="0"/>
            </w:tcBorders>
            <w:shd w:val="clear" w:color="auto" w:fill="E0E0E0"/>
            <w:vAlign w:val="center"/>
          </w:tcPr>
          <w:p>
            <w:pPr>
              <w:jc w:val="center"/>
              <w:rPr>
                <w:sz w:val="24"/>
                <w:szCs w:val="24"/>
              </w:rPr>
            </w:pPr>
            <w:r>
              <w:rPr>
                <w:sz w:val="24"/>
                <w:szCs w:val="24"/>
              </w:rPr>
              <w:t>25</w:t>
            </w:r>
          </w:p>
        </w:tc>
        <w:tc>
          <w:tcPr>
            <w:tcW w:w="3117" w:type="dxa"/>
            <w:tcBorders>
              <w:top w:val="single" w:color="D7D7D7" w:sz="4" w:space="0"/>
              <w:left w:val="single" w:color="D7D7D7" w:sz="4" w:space="0"/>
              <w:bottom w:val="single" w:color="D7D7D7" w:sz="4" w:space="0"/>
              <w:right w:val="single" w:color="D7D7D7" w:sz="4" w:space="0"/>
            </w:tcBorders>
            <w:shd w:val="clear" w:color="auto" w:fill="E0E0E0"/>
            <w:vAlign w:val="center"/>
          </w:tcPr>
          <w:p>
            <w:pPr>
              <w:rPr>
                <w:sz w:val="24"/>
                <w:szCs w:val="24"/>
              </w:rPr>
            </w:pPr>
          </w:p>
        </w:tc>
      </w:tr>
      <w:bookmarkEnd w:id="71"/>
    </w:tbl>
    <w:p>
      <w:pPr>
        <w:pStyle w:val="2"/>
        <w:spacing w:before="120" w:after="120" w:line="560" w:lineRule="exact"/>
        <w:ind w:firstLine="600" w:firstLineChars="200"/>
        <w:rPr>
          <w:rFonts w:eastAsia="黑体"/>
          <w:b w:val="0"/>
          <w:sz w:val="30"/>
        </w:rPr>
      </w:pPr>
      <w:bookmarkStart w:id="73" w:name="_Toc494016495"/>
      <w:bookmarkStart w:id="74" w:name="_Toc493777274"/>
      <w:bookmarkStart w:id="75" w:name="_Toc492851736"/>
      <w:r>
        <w:rPr>
          <w:rFonts w:eastAsia="黑体"/>
          <w:b w:val="0"/>
          <w:sz w:val="30"/>
        </w:rPr>
        <w:t>六、调研结论及对策建议</w:t>
      </w:r>
      <w:bookmarkEnd w:id="73"/>
      <w:bookmarkEnd w:id="74"/>
      <w:bookmarkEnd w:id="75"/>
    </w:p>
    <w:p>
      <w:pPr>
        <w:pStyle w:val="31"/>
        <w:numPr>
          <w:ilvl w:val="0"/>
          <w:numId w:val="0"/>
        </w:numPr>
        <w:spacing w:line="560" w:lineRule="exact"/>
        <w:ind w:firstLine="602" w:firstLineChars="200"/>
        <w:outlineLvl w:val="1"/>
        <w:rPr>
          <w:rFonts w:eastAsia="仿宋_GB2312"/>
          <w:szCs w:val="30"/>
        </w:rPr>
      </w:pPr>
      <w:bookmarkStart w:id="76" w:name="_Toc494016496"/>
      <w:bookmarkStart w:id="77" w:name="_Toc493777275"/>
      <w:bookmarkStart w:id="78" w:name="_Toc492851737"/>
      <w:bookmarkStart w:id="79" w:name="_Toc488169412"/>
      <w:r>
        <w:rPr>
          <w:rFonts w:eastAsia="仿宋_GB2312"/>
          <w:szCs w:val="30"/>
        </w:rPr>
        <w:t>（一）调研结论</w:t>
      </w:r>
      <w:bookmarkEnd w:id="76"/>
      <w:bookmarkEnd w:id="77"/>
    </w:p>
    <w:p>
      <w:pPr>
        <w:spacing w:line="560" w:lineRule="exact"/>
        <w:ind w:firstLine="602" w:firstLineChars="200"/>
        <w:rPr>
          <w:b/>
          <w:sz w:val="30"/>
          <w:szCs w:val="30"/>
        </w:rPr>
      </w:pPr>
      <w:r>
        <w:rPr>
          <w:b/>
          <w:sz w:val="30"/>
          <w:szCs w:val="30"/>
        </w:rPr>
        <w:t>1</w:t>
      </w:r>
      <w:r>
        <w:rPr>
          <w:rFonts w:hint="eastAsia"/>
          <w:b/>
          <w:sz w:val="30"/>
          <w:szCs w:val="30"/>
        </w:rPr>
        <w:t>．</w:t>
      </w:r>
      <w:r>
        <w:rPr>
          <w:b/>
          <w:sz w:val="30"/>
          <w:szCs w:val="30"/>
        </w:rPr>
        <w:t>行业变化迅速，专业定位没有及时调整</w:t>
      </w:r>
      <w:bookmarkEnd w:id="78"/>
      <w:bookmarkEnd w:id="79"/>
    </w:p>
    <w:p>
      <w:pPr>
        <w:spacing w:line="560" w:lineRule="exact"/>
        <w:ind w:firstLine="600" w:firstLineChars="200"/>
        <w:rPr>
          <w:sz w:val="30"/>
          <w:szCs w:val="30"/>
        </w:rPr>
      </w:pPr>
      <w:r>
        <w:rPr>
          <w:sz w:val="30"/>
          <w:szCs w:val="30"/>
        </w:rPr>
        <w:t>随着新商业经济环境形成，实体店的回暖，人才需求持续旺盛。随着线上线下高度融合</w:t>
      </w:r>
      <w:r>
        <w:rPr>
          <w:rFonts w:hint="eastAsia"/>
          <w:sz w:val="30"/>
          <w:szCs w:val="30"/>
        </w:rPr>
        <w:t>以及</w:t>
      </w:r>
      <w:r>
        <w:rPr>
          <w:sz w:val="30"/>
          <w:szCs w:val="30"/>
        </w:rPr>
        <w:t>数据在经营中的</w:t>
      </w:r>
      <w:r>
        <w:rPr>
          <w:rFonts w:hint="eastAsia"/>
          <w:sz w:val="30"/>
          <w:szCs w:val="30"/>
        </w:rPr>
        <w:t>深度</w:t>
      </w:r>
      <w:r>
        <w:rPr>
          <w:sz w:val="30"/>
          <w:szCs w:val="30"/>
        </w:rPr>
        <w:t>应用，要求专业培养必须及时跟进调整。部分院校的人才定位仍然定位于传统</w:t>
      </w:r>
      <w:r>
        <w:rPr>
          <w:rFonts w:hint="eastAsia"/>
          <w:sz w:val="30"/>
          <w:szCs w:val="30"/>
        </w:rPr>
        <w:t>门店</w:t>
      </w:r>
      <w:r>
        <w:rPr>
          <w:sz w:val="30"/>
          <w:szCs w:val="30"/>
        </w:rPr>
        <w:t>，无法满足人才需求</w:t>
      </w:r>
      <w:r>
        <w:rPr>
          <w:rFonts w:hint="eastAsia"/>
          <w:sz w:val="30"/>
          <w:szCs w:val="30"/>
        </w:rPr>
        <w:t>的变化</w:t>
      </w:r>
      <w:r>
        <w:rPr>
          <w:sz w:val="30"/>
          <w:szCs w:val="30"/>
        </w:rPr>
        <w:t>趋势</w:t>
      </w:r>
      <w:r>
        <w:rPr>
          <w:rFonts w:hint="eastAsia"/>
          <w:sz w:val="30"/>
          <w:szCs w:val="30"/>
        </w:rPr>
        <w:t>，</w:t>
      </w:r>
      <w:r>
        <w:rPr>
          <w:sz w:val="30"/>
          <w:szCs w:val="30"/>
        </w:rPr>
        <w:t>另外从全国连锁经营管理专业的</w:t>
      </w:r>
      <w:r>
        <w:rPr>
          <w:rFonts w:hint="eastAsia"/>
          <w:sz w:val="30"/>
          <w:szCs w:val="30"/>
        </w:rPr>
        <w:t>培养</w:t>
      </w:r>
      <w:r>
        <w:rPr>
          <w:sz w:val="30"/>
          <w:szCs w:val="30"/>
        </w:rPr>
        <w:t>方向看，依旧是连锁零售业为主，餐饮、住宿等服务业为</w:t>
      </w:r>
      <w:r>
        <w:rPr>
          <w:rFonts w:hint="eastAsia"/>
          <w:sz w:val="30"/>
          <w:szCs w:val="30"/>
        </w:rPr>
        <w:t>辅</w:t>
      </w:r>
      <w:r>
        <w:rPr>
          <w:sz w:val="30"/>
          <w:szCs w:val="30"/>
        </w:rPr>
        <w:t>。</w:t>
      </w:r>
    </w:p>
    <w:p>
      <w:pPr>
        <w:spacing w:line="560" w:lineRule="exact"/>
        <w:ind w:firstLine="602" w:firstLineChars="200"/>
        <w:rPr>
          <w:b/>
          <w:sz w:val="30"/>
          <w:szCs w:val="30"/>
        </w:rPr>
      </w:pPr>
      <w:bookmarkStart w:id="80" w:name="_Toc488169413"/>
      <w:bookmarkStart w:id="81" w:name="_Toc492851738"/>
      <w:r>
        <w:rPr>
          <w:b/>
          <w:sz w:val="30"/>
          <w:szCs w:val="30"/>
        </w:rPr>
        <w:t>2.商科素质教育、商业传统文化教育明显不足</w:t>
      </w:r>
    </w:p>
    <w:p>
      <w:pPr>
        <w:spacing w:line="560" w:lineRule="exact"/>
        <w:ind w:firstLine="600" w:firstLineChars="200"/>
        <w:rPr>
          <w:sz w:val="30"/>
          <w:szCs w:val="30"/>
        </w:rPr>
      </w:pPr>
      <w:r>
        <w:rPr>
          <w:sz w:val="30"/>
          <w:szCs w:val="30"/>
        </w:rPr>
        <w:t>各院校目前普遍存在的问题是心理调适和抗压能力培养不足；“爱岗敬业”、“吃苦耐劳”精神培养不足；</w:t>
      </w:r>
      <w:bookmarkStart w:id="82" w:name="_Hlk493749013"/>
      <w:r>
        <w:rPr>
          <w:sz w:val="30"/>
          <w:szCs w:val="30"/>
        </w:rPr>
        <w:t>沟通能力培养不足；此外，缺乏中华传统文化类课程，忽视商德商道等职业素养的培养。</w:t>
      </w:r>
      <w:bookmarkEnd w:id="82"/>
    </w:p>
    <w:p>
      <w:pPr>
        <w:spacing w:line="560" w:lineRule="exact"/>
        <w:ind w:firstLine="602" w:firstLineChars="200"/>
        <w:rPr>
          <w:sz w:val="30"/>
          <w:szCs w:val="30"/>
        </w:rPr>
      </w:pPr>
      <w:r>
        <w:rPr>
          <w:b/>
          <w:sz w:val="30"/>
          <w:szCs w:val="30"/>
        </w:rPr>
        <w:t>3．各院校专业课程设置分散，课程性质不规范</w:t>
      </w:r>
    </w:p>
    <w:p>
      <w:pPr>
        <w:spacing w:line="560" w:lineRule="exact"/>
        <w:ind w:firstLine="600" w:firstLineChars="200"/>
        <w:rPr>
          <w:sz w:val="30"/>
          <w:szCs w:val="30"/>
        </w:rPr>
      </w:pPr>
      <w:r>
        <w:rPr>
          <w:sz w:val="30"/>
          <w:szCs w:val="30"/>
        </w:rPr>
        <w:t>调研显示全国</w:t>
      </w:r>
      <w:r>
        <w:rPr>
          <w:rFonts w:hint="eastAsia"/>
          <w:sz w:val="30"/>
          <w:szCs w:val="30"/>
        </w:rPr>
        <w:t>大多数</w:t>
      </w:r>
      <w:r>
        <w:rPr>
          <w:sz w:val="30"/>
          <w:szCs w:val="30"/>
        </w:rPr>
        <w:t>高职院校连锁经营管理专业的专业课程设置分散，没有紧密围绕典型职业活动和工作任务，专业基础课与专业核心课界定不清，</w:t>
      </w:r>
      <w:r>
        <w:rPr>
          <w:rFonts w:hint="eastAsia"/>
          <w:sz w:val="30"/>
          <w:szCs w:val="30"/>
        </w:rPr>
        <w:t>课程与课程之间的</w:t>
      </w:r>
      <w:r>
        <w:rPr>
          <w:sz w:val="30"/>
          <w:szCs w:val="30"/>
        </w:rPr>
        <w:t>内在逻辑梳理也不够清晰，</w:t>
      </w:r>
      <w:r>
        <w:rPr>
          <w:rFonts w:hint="eastAsia"/>
          <w:sz w:val="30"/>
          <w:szCs w:val="30"/>
        </w:rPr>
        <w:t>造成了</w:t>
      </w:r>
      <w:r>
        <w:rPr>
          <w:sz w:val="30"/>
          <w:szCs w:val="30"/>
        </w:rPr>
        <w:t>课程</w:t>
      </w:r>
      <w:r>
        <w:rPr>
          <w:rFonts w:hint="eastAsia"/>
          <w:sz w:val="30"/>
          <w:szCs w:val="30"/>
        </w:rPr>
        <w:t>开设的进度安排</w:t>
      </w:r>
      <w:r>
        <w:rPr>
          <w:sz w:val="30"/>
          <w:szCs w:val="30"/>
        </w:rPr>
        <w:t>以及</w:t>
      </w:r>
      <w:r>
        <w:rPr>
          <w:rFonts w:hint="eastAsia"/>
          <w:sz w:val="30"/>
          <w:szCs w:val="30"/>
        </w:rPr>
        <w:t>时间设置上</w:t>
      </w:r>
      <w:r>
        <w:rPr>
          <w:sz w:val="30"/>
          <w:szCs w:val="30"/>
        </w:rPr>
        <w:t>问题较</w:t>
      </w:r>
      <w:r>
        <w:rPr>
          <w:rFonts w:hint="eastAsia"/>
          <w:sz w:val="30"/>
          <w:szCs w:val="30"/>
        </w:rPr>
        <w:t>多</w:t>
      </w:r>
      <w:r>
        <w:rPr>
          <w:sz w:val="30"/>
          <w:szCs w:val="30"/>
        </w:rPr>
        <w:t>，</w:t>
      </w:r>
      <w:r>
        <w:rPr>
          <w:rFonts w:hint="eastAsia"/>
          <w:sz w:val="30"/>
          <w:szCs w:val="30"/>
        </w:rPr>
        <w:t>下一步</w:t>
      </w:r>
      <w:r>
        <w:rPr>
          <w:sz w:val="30"/>
          <w:szCs w:val="30"/>
        </w:rPr>
        <w:t>需要加以</w:t>
      </w:r>
      <w:r>
        <w:rPr>
          <w:rFonts w:hint="eastAsia"/>
          <w:sz w:val="30"/>
          <w:szCs w:val="30"/>
        </w:rPr>
        <w:t>引导</w:t>
      </w:r>
      <w:r>
        <w:rPr>
          <w:sz w:val="30"/>
          <w:szCs w:val="30"/>
        </w:rPr>
        <w:t>和规范。</w:t>
      </w:r>
    </w:p>
    <w:p>
      <w:pPr>
        <w:spacing w:line="560" w:lineRule="exact"/>
        <w:ind w:firstLine="602" w:firstLineChars="200"/>
        <w:rPr>
          <w:b/>
          <w:sz w:val="30"/>
          <w:szCs w:val="30"/>
        </w:rPr>
      </w:pPr>
      <w:r>
        <w:rPr>
          <w:b/>
          <w:sz w:val="30"/>
          <w:szCs w:val="30"/>
        </w:rPr>
        <w:t>4.课程为“普教改良型”的学科模式，没有体现职业教育特色</w:t>
      </w:r>
    </w:p>
    <w:p>
      <w:pPr>
        <w:spacing w:line="560" w:lineRule="exact"/>
        <w:ind w:firstLine="600" w:firstLineChars="200"/>
        <w:rPr>
          <w:sz w:val="30"/>
          <w:szCs w:val="30"/>
        </w:rPr>
      </w:pPr>
      <w:r>
        <w:rPr>
          <w:sz w:val="30"/>
          <w:szCs w:val="30"/>
        </w:rPr>
        <w:t>目前各高职院校开设的课程中，部分课程学科化严重，不能体现高职教育学做一体的特点，无法实现与职业教育的对接。面对新商业环境，课程设置没有适时的进行调整，缺乏“互联网+”的商业知识、</w:t>
      </w:r>
      <w:r>
        <w:rPr>
          <w:rFonts w:hint="eastAsia"/>
          <w:sz w:val="30"/>
          <w:szCs w:val="30"/>
        </w:rPr>
        <w:t>数据分析</w:t>
      </w:r>
      <w:r>
        <w:rPr>
          <w:sz w:val="30"/>
          <w:szCs w:val="30"/>
        </w:rPr>
        <w:t>的技能训练等能力培养课程，不能有效支撑企业对新商业环境下连锁人才能力需求的变化。</w:t>
      </w:r>
    </w:p>
    <w:p>
      <w:pPr>
        <w:spacing w:line="560" w:lineRule="exact"/>
        <w:ind w:firstLine="602" w:firstLineChars="200"/>
        <w:rPr>
          <w:rFonts w:hint="eastAsia"/>
          <w:b/>
          <w:sz w:val="30"/>
          <w:szCs w:val="30"/>
        </w:rPr>
      </w:pPr>
      <w:r>
        <w:rPr>
          <w:b/>
          <w:sz w:val="30"/>
          <w:szCs w:val="30"/>
        </w:rPr>
        <w:t>5.</w:t>
      </w:r>
      <w:r>
        <w:rPr>
          <w:rFonts w:hint="eastAsia"/>
          <w:b/>
          <w:sz w:val="30"/>
          <w:szCs w:val="30"/>
        </w:rPr>
        <w:t>师资</w:t>
      </w:r>
      <w:r>
        <w:rPr>
          <w:b/>
          <w:sz w:val="30"/>
          <w:szCs w:val="30"/>
        </w:rPr>
        <w:t>薄弱，专业实训条件差别</w:t>
      </w:r>
      <w:r>
        <w:rPr>
          <w:rFonts w:hint="eastAsia"/>
          <w:b/>
          <w:sz w:val="30"/>
          <w:szCs w:val="30"/>
        </w:rPr>
        <w:t>较大</w:t>
      </w:r>
    </w:p>
    <w:p>
      <w:pPr>
        <w:spacing w:line="560" w:lineRule="exact"/>
        <w:ind w:firstLine="600" w:firstLineChars="200"/>
        <w:rPr>
          <w:sz w:val="30"/>
          <w:szCs w:val="30"/>
        </w:rPr>
      </w:pPr>
      <w:r>
        <w:rPr>
          <w:rFonts w:hint="eastAsia"/>
          <w:sz w:val="30"/>
          <w:szCs w:val="30"/>
        </w:rPr>
        <w:t>我国</w:t>
      </w:r>
      <w:r>
        <w:rPr>
          <w:sz w:val="30"/>
          <w:szCs w:val="30"/>
        </w:rPr>
        <w:t>锁经营管理专业</w:t>
      </w:r>
      <w:r>
        <w:rPr>
          <w:rFonts w:hint="eastAsia"/>
          <w:sz w:val="30"/>
          <w:szCs w:val="30"/>
        </w:rPr>
        <w:t>出现</w:t>
      </w:r>
      <w:r>
        <w:rPr>
          <w:sz w:val="30"/>
          <w:szCs w:val="30"/>
        </w:rPr>
        <w:t>较晚，各院校</w:t>
      </w:r>
      <w:r>
        <w:rPr>
          <w:rFonts w:hint="eastAsia"/>
          <w:sz w:val="30"/>
          <w:szCs w:val="30"/>
        </w:rPr>
        <w:t>发展情况</w:t>
      </w:r>
      <w:r>
        <w:rPr>
          <w:sz w:val="30"/>
          <w:szCs w:val="30"/>
        </w:rPr>
        <w:t>差异较大，</w:t>
      </w:r>
      <w:r>
        <w:rPr>
          <w:rFonts w:hint="eastAsia"/>
          <w:sz w:val="30"/>
          <w:szCs w:val="30"/>
        </w:rPr>
        <w:t>加上没有连锁经营管理专业没有硕士点</w:t>
      </w:r>
      <w:r>
        <w:rPr>
          <w:sz w:val="30"/>
          <w:szCs w:val="30"/>
        </w:rPr>
        <w:t>、博士点来培养专业人员，</w:t>
      </w:r>
      <w:r>
        <w:rPr>
          <w:rFonts w:hint="eastAsia"/>
          <w:sz w:val="30"/>
          <w:szCs w:val="30"/>
        </w:rPr>
        <w:t>大多数院校</w:t>
      </w:r>
      <w:r>
        <w:rPr>
          <w:sz w:val="30"/>
          <w:szCs w:val="30"/>
        </w:rPr>
        <w:t>专业师资匮乏，</w:t>
      </w:r>
      <w:r>
        <w:rPr>
          <w:rFonts w:hint="eastAsia"/>
          <w:sz w:val="30"/>
          <w:szCs w:val="30"/>
        </w:rPr>
        <w:t>加上各院校</w:t>
      </w:r>
      <w:r>
        <w:rPr>
          <w:sz w:val="30"/>
          <w:szCs w:val="30"/>
        </w:rPr>
        <w:t>定位略有不同，导致连锁经营管理人才培养的实训环境差别较大。实训内容大多以</w:t>
      </w:r>
      <w:r>
        <w:rPr>
          <w:rFonts w:hint="eastAsia"/>
          <w:sz w:val="30"/>
          <w:szCs w:val="30"/>
        </w:rPr>
        <w:t>商业零售</w:t>
      </w:r>
      <w:r>
        <w:rPr>
          <w:sz w:val="30"/>
          <w:szCs w:val="30"/>
        </w:rPr>
        <w:t>行业的课程单项实训以及模拟实训为主，缺乏来自企业真实活动支撑的实训项目，难以达到理想的实训效果。</w:t>
      </w:r>
    </w:p>
    <w:p>
      <w:pPr>
        <w:pStyle w:val="31"/>
        <w:numPr>
          <w:ilvl w:val="0"/>
          <w:numId w:val="0"/>
        </w:numPr>
        <w:spacing w:line="560" w:lineRule="exact"/>
        <w:ind w:firstLine="602" w:firstLineChars="200"/>
        <w:outlineLvl w:val="1"/>
        <w:rPr>
          <w:rFonts w:eastAsia="仿宋_GB2312"/>
          <w:szCs w:val="30"/>
        </w:rPr>
      </w:pPr>
      <w:bookmarkStart w:id="83" w:name="_Toc493777276"/>
      <w:bookmarkStart w:id="84" w:name="_Toc494016497"/>
      <w:r>
        <w:rPr>
          <w:rFonts w:eastAsia="仿宋_GB2312"/>
          <w:szCs w:val="30"/>
        </w:rPr>
        <w:t>（二）对策建议</w:t>
      </w:r>
      <w:bookmarkEnd w:id="83"/>
      <w:bookmarkEnd w:id="84"/>
    </w:p>
    <w:p>
      <w:pPr>
        <w:spacing w:line="560" w:lineRule="exact"/>
        <w:ind w:firstLine="602" w:firstLineChars="200"/>
        <w:rPr>
          <w:rFonts w:hint="eastAsia"/>
          <w:b/>
          <w:sz w:val="30"/>
          <w:szCs w:val="30"/>
        </w:rPr>
      </w:pPr>
      <w:r>
        <w:rPr>
          <w:b/>
          <w:sz w:val="30"/>
          <w:szCs w:val="30"/>
        </w:rPr>
        <w:t>1.规范专业人才培养定位</w:t>
      </w:r>
      <w:r>
        <w:rPr>
          <w:rFonts w:hint="eastAsia"/>
          <w:b/>
          <w:sz w:val="30"/>
          <w:szCs w:val="30"/>
        </w:rPr>
        <w:t>、做好</w:t>
      </w:r>
      <w:r>
        <w:rPr>
          <w:b/>
          <w:sz w:val="30"/>
          <w:szCs w:val="30"/>
        </w:rPr>
        <w:t>两个拓展</w:t>
      </w:r>
    </w:p>
    <w:p>
      <w:pPr>
        <w:spacing w:line="560" w:lineRule="exact"/>
        <w:ind w:firstLine="600" w:firstLineChars="200"/>
        <w:rPr>
          <w:sz w:val="30"/>
          <w:szCs w:val="30"/>
        </w:rPr>
      </w:pPr>
      <w:r>
        <w:rPr>
          <w:sz w:val="30"/>
          <w:szCs w:val="30"/>
        </w:rPr>
        <w:t>紧跟时代发展，根据行业背景和企业需求，</w:t>
      </w:r>
      <w:r>
        <w:rPr>
          <w:rFonts w:hint="eastAsia"/>
          <w:sz w:val="30"/>
          <w:szCs w:val="30"/>
        </w:rPr>
        <w:t>做好两个拓展</w:t>
      </w:r>
      <w:r>
        <w:rPr>
          <w:sz w:val="30"/>
          <w:szCs w:val="30"/>
        </w:rPr>
        <w:t>，</w:t>
      </w:r>
      <w:r>
        <w:rPr>
          <w:rFonts w:hint="eastAsia"/>
          <w:sz w:val="30"/>
          <w:szCs w:val="30"/>
        </w:rPr>
        <w:t>第一个拓展是，将</w:t>
      </w:r>
      <w:r>
        <w:rPr>
          <w:sz w:val="30"/>
          <w:szCs w:val="30"/>
        </w:rPr>
        <w:t>原有线下业务为主的服务对象拓展为线上线下融合的服务对象；第二个拓展是，在</w:t>
      </w:r>
      <w:r>
        <w:rPr>
          <w:rFonts w:hint="eastAsia"/>
          <w:sz w:val="30"/>
          <w:szCs w:val="30"/>
        </w:rPr>
        <w:t>立足</w:t>
      </w:r>
      <w:r>
        <w:rPr>
          <w:sz w:val="30"/>
          <w:szCs w:val="30"/>
        </w:rPr>
        <w:t>连锁零售行业的基础上，</w:t>
      </w:r>
      <w:r>
        <w:rPr>
          <w:rFonts w:hint="eastAsia"/>
          <w:sz w:val="30"/>
          <w:szCs w:val="30"/>
        </w:rPr>
        <w:t>拓展</w:t>
      </w:r>
      <w:r>
        <w:rPr>
          <w:sz w:val="30"/>
          <w:szCs w:val="30"/>
        </w:rPr>
        <w:t>餐饮、</w:t>
      </w:r>
      <w:r>
        <w:rPr>
          <w:rFonts w:hint="eastAsia"/>
          <w:sz w:val="30"/>
          <w:szCs w:val="30"/>
        </w:rPr>
        <w:t>住宿等</w:t>
      </w:r>
      <w:r>
        <w:rPr>
          <w:sz w:val="30"/>
          <w:szCs w:val="30"/>
        </w:rPr>
        <w:t>其他居民服务行业</w:t>
      </w:r>
      <w:r>
        <w:rPr>
          <w:rFonts w:hint="eastAsia"/>
          <w:sz w:val="30"/>
          <w:szCs w:val="30"/>
        </w:rPr>
        <w:t>。</w:t>
      </w:r>
      <w:r>
        <w:rPr>
          <w:sz w:val="30"/>
          <w:szCs w:val="30"/>
        </w:rPr>
        <w:t>进一步明确连锁经营管理专业的人才培养目标。</w:t>
      </w:r>
    </w:p>
    <w:p>
      <w:pPr>
        <w:spacing w:line="560" w:lineRule="exact"/>
        <w:ind w:firstLine="602" w:firstLineChars="200"/>
        <w:rPr>
          <w:b/>
          <w:sz w:val="30"/>
          <w:szCs w:val="30"/>
        </w:rPr>
      </w:pPr>
      <w:r>
        <w:rPr>
          <w:b/>
          <w:sz w:val="30"/>
          <w:szCs w:val="30"/>
        </w:rPr>
        <w:t>2.</w:t>
      </w:r>
      <w:r>
        <w:rPr>
          <w:rFonts w:hint="eastAsia"/>
          <w:b/>
          <w:sz w:val="30"/>
          <w:szCs w:val="30"/>
        </w:rPr>
        <w:t>明确</w:t>
      </w:r>
      <w:r>
        <w:rPr>
          <w:b/>
          <w:sz w:val="30"/>
          <w:szCs w:val="30"/>
        </w:rPr>
        <w:t>专业课程体系及实训课程体系</w:t>
      </w:r>
    </w:p>
    <w:p>
      <w:pPr>
        <w:spacing w:line="560" w:lineRule="exact"/>
        <w:ind w:firstLine="600" w:firstLineChars="200"/>
        <w:rPr>
          <w:sz w:val="30"/>
          <w:szCs w:val="30"/>
        </w:rPr>
      </w:pPr>
      <w:r>
        <w:rPr>
          <w:sz w:val="30"/>
          <w:szCs w:val="30"/>
        </w:rPr>
        <w:t>多方向多领域研究连锁经营管理专业的岗位典型工作任务，</w:t>
      </w:r>
      <w:bookmarkEnd w:id="80"/>
      <w:bookmarkEnd w:id="81"/>
      <w:bookmarkStart w:id="85" w:name="_Toc387762984"/>
      <w:bookmarkStart w:id="86" w:name="_Toc387761784"/>
      <w:bookmarkStart w:id="87" w:name="_Toc387760787"/>
      <w:r>
        <w:rPr>
          <w:sz w:val="30"/>
          <w:szCs w:val="30"/>
        </w:rPr>
        <w:t>根据人才进阶成长过程，设置能够支撑连锁企业典型职业活动及工作任务的专业课程体系和实训课程体系，进一步明确各专业课程对人才培养的支持作用。</w:t>
      </w:r>
    </w:p>
    <w:bookmarkEnd w:id="85"/>
    <w:bookmarkEnd w:id="86"/>
    <w:bookmarkEnd w:id="87"/>
    <w:p>
      <w:pPr>
        <w:spacing w:line="560" w:lineRule="exact"/>
        <w:ind w:firstLine="602" w:firstLineChars="200"/>
        <w:rPr>
          <w:b/>
          <w:sz w:val="30"/>
          <w:szCs w:val="30"/>
        </w:rPr>
      </w:pPr>
      <w:bookmarkStart w:id="88" w:name="_Toc492851739"/>
      <w:bookmarkStart w:id="89" w:name="_Toc488169414"/>
      <w:r>
        <w:rPr>
          <w:b/>
          <w:sz w:val="30"/>
          <w:szCs w:val="30"/>
        </w:rPr>
        <w:t>3.开发体现职业特色并能体现新商业、新技术的课程</w:t>
      </w:r>
    </w:p>
    <w:bookmarkEnd w:id="88"/>
    <w:bookmarkEnd w:id="89"/>
    <w:p>
      <w:pPr>
        <w:spacing w:line="560" w:lineRule="exact"/>
        <w:ind w:firstLine="600" w:firstLineChars="200"/>
        <w:rPr>
          <w:sz w:val="30"/>
          <w:szCs w:val="30"/>
        </w:rPr>
      </w:pPr>
      <w:r>
        <w:rPr>
          <w:sz w:val="30"/>
          <w:szCs w:val="30"/>
        </w:rPr>
        <w:t>在人才培养过程中要注重内外兼修。一方面培养内在素质，增强人才的商业修养和商道意识，适当增加商业素质类课程的开发与开设</w:t>
      </w:r>
      <w:r>
        <w:rPr>
          <w:rFonts w:hint="eastAsia"/>
          <w:sz w:val="30"/>
          <w:szCs w:val="30"/>
        </w:rPr>
        <w:t>，培养学生具备商贸富国、兴商润民、德本财末、客户至上、诚信共赢等商业理念。</w:t>
      </w:r>
      <w:r>
        <w:rPr>
          <w:sz w:val="30"/>
          <w:szCs w:val="30"/>
        </w:rPr>
        <w:t>另一方面，加强学生对新技术的应用，例如办公软硬件的基本操作，</w:t>
      </w:r>
      <w:r>
        <w:rPr>
          <w:rFonts w:hint="eastAsia"/>
          <w:sz w:val="30"/>
          <w:szCs w:val="30"/>
        </w:rPr>
        <w:t>大数据分析、</w:t>
      </w:r>
      <w:r>
        <w:rPr>
          <w:sz w:val="30"/>
          <w:szCs w:val="30"/>
        </w:rPr>
        <w:t>新媒体营销、CAD在卖场规划中的应用，excel在数据分析中的工具使用等，要进一步加强专业与通识课程之间的联系和梳理。</w:t>
      </w:r>
    </w:p>
    <w:p>
      <w:pPr>
        <w:spacing w:line="560" w:lineRule="exact"/>
        <w:ind w:firstLine="602" w:firstLineChars="200"/>
        <w:rPr>
          <w:b/>
          <w:sz w:val="30"/>
          <w:szCs w:val="30"/>
        </w:rPr>
      </w:pPr>
      <w:r>
        <w:rPr>
          <w:b/>
          <w:sz w:val="30"/>
          <w:szCs w:val="30"/>
        </w:rPr>
        <w:t>4.制定师资与实训条件的最低保障条件</w:t>
      </w:r>
    </w:p>
    <w:p>
      <w:pPr>
        <w:spacing w:line="560" w:lineRule="exact"/>
        <w:ind w:firstLine="600" w:firstLineChars="200"/>
        <w:rPr>
          <w:sz w:val="30"/>
          <w:szCs w:val="30"/>
        </w:rPr>
      </w:pPr>
      <w:r>
        <w:rPr>
          <w:sz w:val="30"/>
          <w:szCs w:val="30"/>
        </w:rPr>
        <w:t>连锁经营管理专业的专职老师除具备足够的专业知识和技能之外，还有具备丰富的实践指导经验。对于学校师资不足者，可考虑校企合作引入企业导师承担实践指导任务。</w:t>
      </w:r>
    </w:p>
    <w:p>
      <w:pPr>
        <w:spacing w:line="560" w:lineRule="exact"/>
        <w:ind w:firstLine="600" w:firstLineChars="200"/>
        <w:rPr>
          <w:sz w:val="30"/>
          <w:szCs w:val="30"/>
        </w:rPr>
      </w:pPr>
      <w:r>
        <w:rPr>
          <w:sz w:val="30"/>
          <w:szCs w:val="30"/>
        </w:rPr>
        <w:t>连锁经营管理专业更多的是人对人的操作，企业实景在一定程度上比校园模拟更加重要，所以在校内实训基地建设的前提下，应该积极拓展校外实训基地。</w:t>
      </w:r>
    </w:p>
    <w:p>
      <w:pPr>
        <w:spacing w:line="560" w:lineRule="exact"/>
        <w:ind w:firstLine="602" w:firstLineChars="200"/>
        <w:rPr>
          <w:sz w:val="30"/>
          <w:szCs w:val="30"/>
        </w:rPr>
      </w:pPr>
      <w:r>
        <w:rPr>
          <w:rFonts w:hint="eastAsia"/>
          <w:b/>
          <w:sz w:val="30"/>
          <w:szCs w:val="30"/>
        </w:rPr>
        <w:t>5.</w:t>
      </w:r>
      <w:r>
        <w:rPr>
          <w:b/>
          <w:sz w:val="30"/>
          <w:szCs w:val="30"/>
        </w:rPr>
        <w:t>通过国际交流学习，提升专业的国际竞争力</w:t>
      </w:r>
    </w:p>
    <w:p>
      <w:pPr>
        <w:spacing w:line="560" w:lineRule="exact"/>
        <w:ind w:firstLine="600" w:firstLineChars="200"/>
        <w:rPr>
          <w:sz w:val="30"/>
          <w:szCs w:val="30"/>
        </w:rPr>
      </w:pPr>
      <w:r>
        <w:rPr>
          <w:sz w:val="30"/>
          <w:szCs w:val="30"/>
        </w:rPr>
        <w:t>连锁经营管理专业应在人才培养模式改革的同时，在人才培养质量保障体系建设、课程体系建设、创新创业教育以及国际化等方面加强与国际优秀院校的交流，通过多种方式向国际优秀院校学习，以提升本专业在国际同类院校的竞争力。</w:t>
      </w:r>
    </w:p>
    <w:p>
      <w:pPr>
        <w:spacing w:line="560" w:lineRule="exact"/>
        <w:ind w:firstLine="600" w:firstLineChars="200"/>
        <w:rPr>
          <w:sz w:val="30"/>
          <w:szCs w:val="30"/>
        </w:rPr>
      </w:pPr>
    </w:p>
    <w:sectPr>
      <w:footerReference r:id="rId5" w:type="default"/>
      <w:pgSz w:w="11906" w:h="16838"/>
      <w:pgMar w:top="1440" w:right="1800" w:bottom="1440" w:left="1800" w:header="851" w:footer="992" w:gutter="0"/>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sdt>
      <w:sdtPr>
        <w:id w:val="383521141"/>
        <w:docPartObj>
          <w:docPartGallery w:val="AutoText"/>
        </w:docPartObj>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sdt>
      <w:sdtPr>
        <w:id w:val="383521141"/>
        <w:docPartObj>
          <w:docPartGallery w:val="autotext"/>
        </w:docPartObj>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jc w:val="center"/>
                          </w:pPr>
                          <w:r>
                            <w:fldChar w:fldCharType="begin"/>
                          </w:r>
                          <w:r>
                            <w:instrText xml:space="preserve">PAGE   \* MERGEFORMAT</w:instrText>
                          </w:r>
                          <w:r>
                            <w:fldChar w:fldCharType="separate"/>
                          </w:r>
                          <w:r>
                            <w:rPr>
                              <w:lang w:val="zh-CN"/>
                            </w:rPr>
                            <w:t>24</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v:fill on="f" focussize="0,0"/>
              <v:stroke on="f" weight="0.5pt"/>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24</w:t>
                    </w:r>
                    <w:r>
                      <w:rPr>
                        <w:lang w:val="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5562"/>
    <w:multiLevelType w:val="multilevel"/>
    <w:tmpl w:val="05525562"/>
    <w:lvl w:ilvl="0" w:tentative="0">
      <w:start w:val="1"/>
      <w:numFmt w:val="bullet"/>
      <w:lvlText w:val=""/>
      <w:lvlJc w:val="left"/>
      <w:pPr>
        <w:ind w:left="1020"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0A5937F9"/>
    <w:multiLevelType w:val="multilevel"/>
    <w:tmpl w:val="0A5937F9"/>
    <w:lvl w:ilvl="0" w:tentative="0">
      <w:start w:val="1"/>
      <w:numFmt w:val="chineseCountingThousand"/>
      <w:pStyle w:val="2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F71DF1"/>
    <w:multiLevelType w:val="multilevel"/>
    <w:tmpl w:val="17F71DF1"/>
    <w:lvl w:ilvl="0" w:tentative="0">
      <w:start w:val="1"/>
      <w:numFmt w:val="chineseCountingThousand"/>
      <w:pStyle w:val="31"/>
      <w:lvlText w:val="(%1)"/>
      <w:lvlJc w:val="left"/>
      <w:pPr>
        <w:ind w:left="1238"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514B5DF4"/>
    <w:multiLevelType w:val="multilevel"/>
    <w:tmpl w:val="514B5DF4"/>
    <w:lvl w:ilvl="0" w:tentative="0">
      <w:start w:val="1"/>
      <w:numFmt w:val="bullet"/>
      <w:pStyle w:val="3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25F4A56"/>
    <w:multiLevelType w:val="multilevel"/>
    <w:tmpl w:val="525F4A56"/>
    <w:lvl w:ilvl="0" w:tentative="0">
      <w:start w:val="1"/>
      <w:numFmt w:val="bullet"/>
      <w:lvlText w:val=""/>
      <w:lvlJc w:val="left"/>
      <w:pPr>
        <w:ind w:left="1020"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5">
    <w:nsid w:val="69815AE0"/>
    <w:multiLevelType w:val="multilevel"/>
    <w:tmpl w:val="69815AE0"/>
    <w:lvl w:ilvl="0" w:tentative="0">
      <w:start w:val="1"/>
      <w:numFmt w:val="bullet"/>
      <w:lvlText w:val=""/>
      <w:lvlJc w:val="left"/>
      <w:pPr>
        <w:ind w:left="1020"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11D"/>
    <w:rsid w:val="00007BA5"/>
    <w:rsid w:val="0001036C"/>
    <w:rsid w:val="00011EDE"/>
    <w:rsid w:val="00014E6B"/>
    <w:rsid w:val="000176FE"/>
    <w:rsid w:val="00017BBA"/>
    <w:rsid w:val="000200E9"/>
    <w:rsid w:val="00025CFA"/>
    <w:rsid w:val="0002707B"/>
    <w:rsid w:val="00027CB7"/>
    <w:rsid w:val="00031B0D"/>
    <w:rsid w:val="00031BE5"/>
    <w:rsid w:val="000334A0"/>
    <w:rsid w:val="000353CA"/>
    <w:rsid w:val="00037765"/>
    <w:rsid w:val="000411F3"/>
    <w:rsid w:val="0004225B"/>
    <w:rsid w:val="00043630"/>
    <w:rsid w:val="00044156"/>
    <w:rsid w:val="00044BC7"/>
    <w:rsid w:val="00046082"/>
    <w:rsid w:val="00053A31"/>
    <w:rsid w:val="00053AFC"/>
    <w:rsid w:val="0005422C"/>
    <w:rsid w:val="00054991"/>
    <w:rsid w:val="00055F48"/>
    <w:rsid w:val="00057ED0"/>
    <w:rsid w:val="000615C3"/>
    <w:rsid w:val="00061EC5"/>
    <w:rsid w:val="00062543"/>
    <w:rsid w:val="00062BDB"/>
    <w:rsid w:val="00062DAA"/>
    <w:rsid w:val="00066C90"/>
    <w:rsid w:val="000716AA"/>
    <w:rsid w:val="00071BF1"/>
    <w:rsid w:val="0007516A"/>
    <w:rsid w:val="000770EC"/>
    <w:rsid w:val="00083299"/>
    <w:rsid w:val="00087E69"/>
    <w:rsid w:val="000919D1"/>
    <w:rsid w:val="0009541D"/>
    <w:rsid w:val="000967F6"/>
    <w:rsid w:val="00097661"/>
    <w:rsid w:val="000A269C"/>
    <w:rsid w:val="000A32D6"/>
    <w:rsid w:val="000A6B36"/>
    <w:rsid w:val="000B11D7"/>
    <w:rsid w:val="000B19BA"/>
    <w:rsid w:val="000B1A7F"/>
    <w:rsid w:val="000B25D7"/>
    <w:rsid w:val="000B7CA4"/>
    <w:rsid w:val="000C215E"/>
    <w:rsid w:val="000D210E"/>
    <w:rsid w:val="000D30E6"/>
    <w:rsid w:val="000D354F"/>
    <w:rsid w:val="000D4019"/>
    <w:rsid w:val="000D69D3"/>
    <w:rsid w:val="000E1E6F"/>
    <w:rsid w:val="000E207B"/>
    <w:rsid w:val="000E273B"/>
    <w:rsid w:val="000E3121"/>
    <w:rsid w:val="000E47DC"/>
    <w:rsid w:val="000E773B"/>
    <w:rsid w:val="000F333E"/>
    <w:rsid w:val="000F3ED8"/>
    <w:rsid w:val="000F3F70"/>
    <w:rsid w:val="000F54EB"/>
    <w:rsid w:val="00101107"/>
    <w:rsid w:val="001026AB"/>
    <w:rsid w:val="001039EA"/>
    <w:rsid w:val="00110CF8"/>
    <w:rsid w:val="001121EB"/>
    <w:rsid w:val="001163A9"/>
    <w:rsid w:val="00120FD4"/>
    <w:rsid w:val="00122074"/>
    <w:rsid w:val="00123838"/>
    <w:rsid w:val="00127256"/>
    <w:rsid w:val="00131DFB"/>
    <w:rsid w:val="00133388"/>
    <w:rsid w:val="001341BC"/>
    <w:rsid w:val="0013635E"/>
    <w:rsid w:val="00136D55"/>
    <w:rsid w:val="0014341D"/>
    <w:rsid w:val="00144896"/>
    <w:rsid w:val="001448D3"/>
    <w:rsid w:val="0014616E"/>
    <w:rsid w:val="00147569"/>
    <w:rsid w:val="00154E16"/>
    <w:rsid w:val="0015611D"/>
    <w:rsid w:val="00156461"/>
    <w:rsid w:val="00171E7F"/>
    <w:rsid w:val="0017230E"/>
    <w:rsid w:val="00172B95"/>
    <w:rsid w:val="00172C33"/>
    <w:rsid w:val="00176532"/>
    <w:rsid w:val="001808B3"/>
    <w:rsid w:val="00183F36"/>
    <w:rsid w:val="001841FA"/>
    <w:rsid w:val="001877D9"/>
    <w:rsid w:val="00187C08"/>
    <w:rsid w:val="00190453"/>
    <w:rsid w:val="00192B0A"/>
    <w:rsid w:val="001A081E"/>
    <w:rsid w:val="001A094E"/>
    <w:rsid w:val="001A47A5"/>
    <w:rsid w:val="001A7829"/>
    <w:rsid w:val="001B30A8"/>
    <w:rsid w:val="001B3534"/>
    <w:rsid w:val="001B5A02"/>
    <w:rsid w:val="001C01A9"/>
    <w:rsid w:val="001C0B80"/>
    <w:rsid w:val="001C71F0"/>
    <w:rsid w:val="001D7595"/>
    <w:rsid w:val="001D7CF8"/>
    <w:rsid w:val="001E3C8B"/>
    <w:rsid w:val="001E4843"/>
    <w:rsid w:val="001E78A9"/>
    <w:rsid w:val="001F0495"/>
    <w:rsid w:val="001F10CD"/>
    <w:rsid w:val="001F1E7E"/>
    <w:rsid w:val="001F7B09"/>
    <w:rsid w:val="002113E7"/>
    <w:rsid w:val="00215890"/>
    <w:rsid w:val="00216094"/>
    <w:rsid w:val="002177F2"/>
    <w:rsid w:val="00220608"/>
    <w:rsid w:val="002229BB"/>
    <w:rsid w:val="00224127"/>
    <w:rsid w:val="00225593"/>
    <w:rsid w:val="002256B7"/>
    <w:rsid w:val="0023039F"/>
    <w:rsid w:val="0023098E"/>
    <w:rsid w:val="00232AD9"/>
    <w:rsid w:val="00236160"/>
    <w:rsid w:val="0023691C"/>
    <w:rsid w:val="00242B48"/>
    <w:rsid w:val="00244B79"/>
    <w:rsid w:val="002464DD"/>
    <w:rsid w:val="00251E8D"/>
    <w:rsid w:val="00256114"/>
    <w:rsid w:val="0025768E"/>
    <w:rsid w:val="00262EA0"/>
    <w:rsid w:val="00263954"/>
    <w:rsid w:val="00266BBE"/>
    <w:rsid w:val="00266EC6"/>
    <w:rsid w:val="0027642E"/>
    <w:rsid w:val="002766F5"/>
    <w:rsid w:val="0028140A"/>
    <w:rsid w:val="00282FD9"/>
    <w:rsid w:val="00287781"/>
    <w:rsid w:val="00290144"/>
    <w:rsid w:val="00291A6D"/>
    <w:rsid w:val="0029233C"/>
    <w:rsid w:val="002926EC"/>
    <w:rsid w:val="002A4E97"/>
    <w:rsid w:val="002A72F8"/>
    <w:rsid w:val="002B5CCF"/>
    <w:rsid w:val="002B6DD3"/>
    <w:rsid w:val="002C0485"/>
    <w:rsid w:val="002C288A"/>
    <w:rsid w:val="002C48E1"/>
    <w:rsid w:val="002D253B"/>
    <w:rsid w:val="002D6608"/>
    <w:rsid w:val="002E1F05"/>
    <w:rsid w:val="002E2B3B"/>
    <w:rsid w:val="002E60C8"/>
    <w:rsid w:val="002E64BC"/>
    <w:rsid w:val="002E699C"/>
    <w:rsid w:val="002F0D82"/>
    <w:rsid w:val="002F40B1"/>
    <w:rsid w:val="002F42F2"/>
    <w:rsid w:val="002F57B5"/>
    <w:rsid w:val="0030411F"/>
    <w:rsid w:val="00311034"/>
    <w:rsid w:val="00311D47"/>
    <w:rsid w:val="00326B04"/>
    <w:rsid w:val="0033133F"/>
    <w:rsid w:val="003329B0"/>
    <w:rsid w:val="00332AE2"/>
    <w:rsid w:val="00334A2E"/>
    <w:rsid w:val="00335093"/>
    <w:rsid w:val="003351E5"/>
    <w:rsid w:val="00337609"/>
    <w:rsid w:val="003379BB"/>
    <w:rsid w:val="0034693D"/>
    <w:rsid w:val="003504DC"/>
    <w:rsid w:val="00352742"/>
    <w:rsid w:val="0035732B"/>
    <w:rsid w:val="00364A5C"/>
    <w:rsid w:val="003711D3"/>
    <w:rsid w:val="00371312"/>
    <w:rsid w:val="00373397"/>
    <w:rsid w:val="00373D13"/>
    <w:rsid w:val="00377455"/>
    <w:rsid w:val="0038172C"/>
    <w:rsid w:val="00383764"/>
    <w:rsid w:val="0038571B"/>
    <w:rsid w:val="003914F3"/>
    <w:rsid w:val="00395BB1"/>
    <w:rsid w:val="00397490"/>
    <w:rsid w:val="003A1317"/>
    <w:rsid w:val="003A4334"/>
    <w:rsid w:val="003A555C"/>
    <w:rsid w:val="003A68B2"/>
    <w:rsid w:val="003A7928"/>
    <w:rsid w:val="003A7F14"/>
    <w:rsid w:val="003B01F7"/>
    <w:rsid w:val="003C0240"/>
    <w:rsid w:val="003C0510"/>
    <w:rsid w:val="003C2066"/>
    <w:rsid w:val="003C62A6"/>
    <w:rsid w:val="003D0AC1"/>
    <w:rsid w:val="003D4ABF"/>
    <w:rsid w:val="003D6607"/>
    <w:rsid w:val="003D6F62"/>
    <w:rsid w:val="003D7E09"/>
    <w:rsid w:val="003E4910"/>
    <w:rsid w:val="003E662B"/>
    <w:rsid w:val="003F072B"/>
    <w:rsid w:val="003F1712"/>
    <w:rsid w:val="003F4440"/>
    <w:rsid w:val="003F5EA7"/>
    <w:rsid w:val="0040432F"/>
    <w:rsid w:val="00404852"/>
    <w:rsid w:val="004148C9"/>
    <w:rsid w:val="00415D88"/>
    <w:rsid w:val="00416E18"/>
    <w:rsid w:val="004170CF"/>
    <w:rsid w:val="00423109"/>
    <w:rsid w:val="00431435"/>
    <w:rsid w:val="004327D1"/>
    <w:rsid w:val="00433C34"/>
    <w:rsid w:val="00435A9B"/>
    <w:rsid w:val="00437AF8"/>
    <w:rsid w:val="00441802"/>
    <w:rsid w:val="00444F00"/>
    <w:rsid w:val="00451774"/>
    <w:rsid w:val="00453CCE"/>
    <w:rsid w:val="004546E6"/>
    <w:rsid w:val="00457C5F"/>
    <w:rsid w:val="00457CA0"/>
    <w:rsid w:val="0046150F"/>
    <w:rsid w:val="00464533"/>
    <w:rsid w:val="00464603"/>
    <w:rsid w:val="0046541E"/>
    <w:rsid w:val="004655C2"/>
    <w:rsid w:val="00481E5A"/>
    <w:rsid w:val="00482899"/>
    <w:rsid w:val="00483753"/>
    <w:rsid w:val="00486DD2"/>
    <w:rsid w:val="00490A08"/>
    <w:rsid w:val="00490F1C"/>
    <w:rsid w:val="00493674"/>
    <w:rsid w:val="0049590C"/>
    <w:rsid w:val="004965C9"/>
    <w:rsid w:val="00496C6A"/>
    <w:rsid w:val="004A3865"/>
    <w:rsid w:val="004A7066"/>
    <w:rsid w:val="004B21B3"/>
    <w:rsid w:val="004B4AFF"/>
    <w:rsid w:val="004B6AC9"/>
    <w:rsid w:val="004B7534"/>
    <w:rsid w:val="004C2D20"/>
    <w:rsid w:val="004E00B4"/>
    <w:rsid w:val="004E0B5A"/>
    <w:rsid w:val="004E119D"/>
    <w:rsid w:val="004E1A75"/>
    <w:rsid w:val="004E301C"/>
    <w:rsid w:val="004E5503"/>
    <w:rsid w:val="004F06BE"/>
    <w:rsid w:val="004F3E2B"/>
    <w:rsid w:val="004F6B70"/>
    <w:rsid w:val="00502664"/>
    <w:rsid w:val="00503A80"/>
    <w:rsid w:val="00503CED"/>
    <w:rsid w:val="00512132"/>
    <w:rsid w:val="00515CBE"/>
    <w:rsid w:val="00517E17"/>
    <w:rsid w:val="005263EB"/>
    <w:rsid w:val="005269D1"/>
    <w:rsid w:val="00531B07"/>
    <w:rsid w:val="00533612"/>
    <w:rsid w:val="005336A3"/>
    <w:rsid w:val="00535852"/>
    <w:rsid w:val="0053609C"/>
    <w:rsid w:val="00537677"/>
    <w:rsid w:val="00551E75"/>
    <w:rsid w:val="00554140"/>
    <w:rsid w:val="00556F12"/>
    <w:rsid w:val="005600A5"/>
    <w:rsid w:val="005632EA"/>
    <w:rsid w:val="0056353F"/>
    <w:rsid w:val="005715C5"/>
    <w:rsid w:val="00571AD6"/>
    <w:rsid w:val="00577CEE"/>
    <w:rsid w:val="00580FB9"/>
    <w:rsid w:val="0058261D"/>
    <w:rsid w:val="005826E8"/>
    <w:rsid w:val="005841CB"/>
    <w:rsid w:val="00585703"/>
    <w:rsid w:val="00590941"/>
    <w:rsid w:val="005910DC"/>
    <w:rsid w:val="005944C6"/>
    <w:rsid w:val="005950DC"/>
    <w:rsid w:val="005A239A"/>
    <w:rsid w:val="005A3C14"/>
    <w:rsid w:val="005A6BFB"/>
    <w:rsid w:val="005A773C"/>
    <w:rsid w:val="005B48DB"/>
    <w:rsid w:val="005B6A2D"/>
    <w:rsid w:val="005C3480"/>
    <w:rsid w:val="005C3717"/>
    <w:rsid w:val="005C5451"/>
    <w:rsid w:val="005C7D4E"/>
    <w:rsid w:val="005D09DE"/>
    <w:rsid w:val="005D0F47"/>
    <w:rsid w:val="005D1A1F"/>
    <w:rsid w:val="005D5A21"/>
    <w:rsid w:val="005D6754"/>
    <w:rsid w:val="005D753B"/>
    <w:rsid w:val="005E4F46"/>
    <w:rsid w:val="005F35A4"/>
    <w:rsid w:val="005F36E4"/>
    <w:rsid w:val="005F3F70"/>
    <w:rsid w:val="005F4501"/>
    <w:rsid w:val="005F777B"/>
    <w:rsid w:val="006007A6"/>
    <w:rsid w:val="0060417D"/>
    <w:rsid w:val="006043F6"/>
    <w:rsid w:val="0060532B"/>
    <w:rsid w:val="00605430"/>
    <w:rsid w:val="006058B6"/>
    <w:rsid w:val="00611FDC"/>
    <w:rsid w:val="00620E86"/>
    <w:rsid w:val="006258A6"/>
    <w:rsid w:val="00631C43"/>
    <w:rsid w:val="006343BC"/>
    <w:rsid w:val="0063490B"/>
    <w:rsid w:val="0063759F"/>
    <w:rsid w:val="00641043"/>
    <w:rsid w:val="00641BD9"/>
    <w:rsid w:val="0064377C"/>
    <w:rsid w:val="0064794B"/>
    <w:rsid w:val="00650BBF"/>
    <w:rsid w:val="00652000"/>
    <w:rsid w:val="00653CCD"/>
    <w:rsid w:val="0067447C"/>
    <w:rsid w:val="00675776"/>
    <w:rsid w:val="00680630"/>
    <w:rsid w:val="00683C7F"/>
    <w:rsid w:val="006875A2"/>
    <w:rsid w:val="006913F6"/>
    <w:rsid w:val="00692BD7"/>
    <w:rsid w:val="0069426A"/>
    <w:rsid w:val="0069536F"/>
    <w:rsid w:val="00696DB7"/>
    <w:rsid w:val="006A2258"/>
    <w:rsid w:val="006A4D01"/>
    <w:rsid w:val="006A5905"/>
    <w:rsid w:val="006A6893"/>
    <w:rsid w:val="006A72DE"/>
    <w:rsid w:val="006B15FE"/>
    <w:rsid w:val="006B2535"/>
    <w:rsid w:val="006B3152"/>
    <w:rsid w:val="006B39D4"/>
    <w:rsid w:val="006B5A91"/>
    <w:rsid w:val="006B662A"/>
    <w:rsid w:val="006B7CB3"/>
    <w:rsid w:val="006C4D8D"/>
    <w:rsid w:val="006C4D98"/>
    <w:rsid w:val="006D2B87"/>
    <w:rsid w:val="006D41F8"/>
    <w:rsid w:val="006D4EFC"/>
    <w:rsid w:val="006D676A"/>
    <w:rsid w:val="006E0D6F"/>
    <w:rsid w:val="006E5993"/>
    <w:rsid w:val="006E616A"/>
    <w:rsid w:val="006E620F"/>
    <w:rsid w:val="006F5605"/>
    <w:rsid w:val="006F6100"/>
    <w:rsid w:val="007013D6"/>
    <w:rsid w:val="00701644"/>
    <w:rsid w:val="00702D28"/>
    <w:rsid w:val="00703006"/>
    <w:rsid w:val="0070537D"/>
    <w:rsid w:val="0071067F"/>
    <w:rsid w:val="00711BD0"/>
    <w:rsid w:val="00711E6E"/>
    <w:rsid w:val="007125D0"/>
    <w:rsid w:val="00717BDF"/>
    <w:rsid w:val="00724AA1"/>
    <w:rsid w:val="00733BDF"/>
    <w:rsid w:val="00735AF7"/>
    <w:rsid w:val="00737330"/>
    <w:rsid w:val="00742F4B"/>
    <w:rsid w:val="0074325C"/>
    <w:rsid w:val="0075423F"/>
    <w:rsid w:val="00763144"/>
    <w:rsid w:val="00766609"/>
    <w:rsid w:val="0077088C"/>
    <w:rsid w:val="007709C0"/>
    <w:rsid w:val="00770DA0"/>
    <w:rsid w:val="007722B9"/>
    <w:rsid w:val="007729F6"/>
    <w:rsid w:val="00774362"/>
    <w:rsid w:val="007753CB"/>
    <w:rsid w:val="00781BC6"/>
    <w:rsid w:val="00784285"/>
    <w:rsid w:val="007854B2"/>
    <w:rsid w:val="00787332"/>
    <w:rsid w:val="007905CC"/>
    <w:rsid w:val="0079713B"/>
    <w:rsid w:val="007A15CE"/>
    <w:rsid w:val="007A40EC"/>
    <w:rsid w:val="007A6655"/>
    <w:rsid w:val="007A6BED"/>
    <w:rsid w:val="007B10C7"/>
    <w:rsid w:val="007B3C06"/>
    <w:rsid w:val="007B438D"/>
    <w:rsid w:val="007C150D"/>
    <w:rsid w:val="007C151B"/>
    <w:rsid w:val="007C5AD0"/>
    <w:rsid w:val="007C706B"/>
    <w:rsid w:val="007D3FD1"/>
    <w:rsid w:val="007D52AF"/>
    <w:rsid w:val="007D52ED"/>
    <w:rsid w:val="007D65D4"/>
    <w:rsid w:val="007E0AC5"/>
    <w:rsid w:val="007E0B07"/>
    <w:rsid w:val="007E1ED7"/>
    <w:rsid w:val="007E22D1"/>
    <w:rsid w:val="007E4FF8"/>
    <w:rsid w:val="007E7B13"/>
    <w:rsid w:val="007F011E"/>
    <w:rsid w:val="007F0CEF"/>
    <w:rsid w:val="007F12B4"/>
    <w:rsid w:val="007F2A1F"/>
    <w:rsid w:val="007F5EAF"/>
    <w:rsid w:val="007F712D"/>
    <w:rsid w:val="00803338"/>
    <w:rsid w:val="00804654"/>
    <w:rsid w:val="00804B80"/>
    <w:rsid w:val="008060DB"/>
    <w:rsid w:val="0080672D"/>
    <w:rsid w:val="00806FB6"/>
    <w:rsid w:val="0081459A"/>
    <w:rsid w:val="008270BB"/>
    <w:rsid w:val="008332F5"/>
    <w:rsid w:val="00841E13"/>
    <w:rsid w:val="0084448D"/>
    <w:rsid w:val="0086001B"/>
    <w:rsid w:val="008616A7"/>
    <w:rsid w:val="008618B6"/>
    <w:rsid w:val="00863383"/>
    <w:rsid w:val="00865DFE"/>
    <w:rsid w:val="00873FF5"/>
    <w:rsid w:val="008746BF"/>
    <w:rsid w:val="00874879"/>
    <w:rsid w:val="0087709E"/>
    <w:rsid w:val="00880D5F"/>
    <w:rsid w:val="00881E24"/>
    <w:rsid w:val="00883169"/>
    <w:rsid w:val="00885A3E"/>
    <w:rsid w:val="008A2063"/>
    <w:rsid w:val="008A3CD0"/>
    <w:rsid w:val="008B01EF"/>
    <w:rsid w:val="008B0BF9"/>
    <w:rsid w:val="008B31A7"/>
    <w:rsid w:val="008B58D8"/>
    <w:rsid w:val="008B71A5"/>
    <w:rsid w:val="008C2955"/>
    <w:rsid w:val="008D088B"/>
    <w:rsid w:val="008D7EB2"/>
    <w:rsid w:val="008E024A"/>
    <w:rsid w:val="008E7FB3"/>
    <w:rsid w:val="0090126B"/>
    <w:rsid w:val="00903BDC"/>
    <w:rsid w:val="00912600"/>
    <w:rsid w:val="00912B49"/>
    <w:rsid w:val="00915961"/>
    <w:rsid w:val="009219C7"/>
    <w:rsid w:val="0092406B"/>
    <w:rsid w:val="00924DD1"/>
    <w:rsid w:val="00926F4E"/>
    <w:rsid w:val="00932DAB"/>
    <w:rsid w:val="00933869"/>
    <w:rsid w:val="00936E86"/>
    <w:rsid w:val="0093755A"/>
    <w:rsid w:val="00941A2A"/>
    <w:rsid w:val="00941B83"/>
    <w:rsid w:val="00942570"/>
    <w:rsid w:val="00943A7F"/>
    <w:rsid w:val="009451FC"/>
    <w:rsid w:val="00950F41"/>
    <w:rsid w:val="0095701B"/>
    <w:rsid w:val="009618E9"/>
    <w:rsid w:val="0096529A"/>
    <w:rsid w:val="009656BF"/>
    <w:rsid w:val="00967DDA"/>
    <w:rsid w:val="00973477"/>
    <w:rsid w:val="00974FE5"/>
    <w:rsid w:val="00975A46"/>
    <w:rsid w:val="00975FE9"/>
    <w:rsid w:val="00983D0C"/>
    <w:rsid w:val="00986297"/>
    <w:rsid w:val="00990BB3"/>
    <w:rsid w:val="00993198"/>
    <w:rsid w:val="00997BE5"/>
    <w:rsid w:val="009A1BDA"/>
    <w:rsid w:val="009A2A76"/>
    <w:rsid w:val="009A2E88"/>
    <w:rsid w:val="009A7C3C"/>
    <w:rsid w:val="009C0A12"/>
    <w:rsid w:val="009C516E"/>
    <w:rsid w:val="009C6E29"/>
    <w:rsid w:val="009C6E6D"/>
    <w:rsid w:val="009D0F92"/>
    <w:rsid w:val="009D2972"/>
    <w:rsid w:val="009D2C60"/>
    <w:rsid w:val="009D567B"/>
    <w:rsid w:val="009D635E"/>
    <w:rsid w:val="009D65AE"/>
    <w:rsid w:val="009D70D2"/>
    <w:rsid w:val="009E0751"/>
    <w:rsid w:val="009E1B59"/>
    <w:rsid w:val="009E2461"/>
    <w:rsid w:val="009E28D1"/>
    <w:rsid w:val="009E36FF"/>
    <w:rsid w:val="009E56B3"/>
    <w:rsid w:val="009E5DB2"/>
    <w:rsid w:val="009E6A8E"/>
    <w:rsid w:val="009F2C28"/>
    <w:rsid w:val="009F3D29"/>
    <w:rsid w:val="009F5280"/>
    <w:rsid w:val="00A000D1"/>
    <w:rsid w:val="00A033E4"/>
    <w:rsid w:val="00A05DD2"/>
    <w:rsid w:val="00A12D54"/>
    <w:rsid w:val="00A13465"/>
    <w:rsid w:val="00A13A9E"/>
    <w:rsid w:val="00A23552"/>
    <w:rsid w:val="00A3070C"/>
    <w:rsid w:val="00A33AFB"/>
    <w:rsid w:val="00A33C63"/>
    <w:rsid w:val="00A33E47"/>
    <w:rsid w:val="00A4444C"/>
    <w:rsid w:val="00A457C9"/>
    <w:rsid w:val="00A4603B"/>
    <w:rsid w:val="00A503A8"/>
    <w:rsid w:val="00A50AF7"/>
    <w:rsid w:val="00A51BD2"/>
    <w:rsid w:val="00A5691D"/>
    <w:rsid w:val="00A571EF"/>
    <w:rsid w:val="00A608B5"/>
    <w:rsid w:val="00A62C43"/>
    <w:rsid w:val="00A62EC7"/>
    <w:rsid w:val="00A666E9"/>
    <w:rsid w:val="00A832BF"/>
    <w:rsid w:val="00A84236"/>
    <w:rsid w:val="00A864F4"/>
    <w:rsid w:val="00A923BE"/>
    <w:rsid w:val="00A93E1F"/>
    <w:rsid w:val="00A9531B"/>
    <w:rsid w:val="00AA3AE2"/>
    <w:rsid w:val="00AA628A"/>
    <w:rsid w:val="00AD2E7D"/>
    <w:rsid w:val="00AD5AFC"/>
    <w:rsid w:val="00AE1FCB"/>
    <w:rsid w:val="00AE2D82"/>
    <w:rsid w:val="00AE4F43"/>
    <w:rsid w:val="00AF42A2"/>
    <w:rsid w:val="00AF481D"/>
    <w:rsid w:val="00AF6AD2"/>
    <w:rsid w:val="00B0017F"/>
    <w:rsid w:val="00B07625"/>
    <w:rsid w:val="00B121D6"/>
    <w:rsid w:val="00B12E60"/>
    <w:rsid w:val="00B14A1F"/>
    <w:rsid w:val="00B2430C"/>
    <w:rsid w:val="00B26257"/>
    <w:rsid w:val="00B36C74"/>
    <w:rsid w:val="00B37862"/>
    <w:rsid w:val="00B40B4C"/>
    <w:rsid w:val="00B40FCB"/>
    <w:rsid w:val="00B41A61"/>
    <w:rsid w:val="00B41F7C"/>
    <w:rsid w:val="00B5641A"/>
    <w:rsid w:val="00B571D8"/>
    <w:rsid w:val="00B60AFA"/>
    <w:rsid w:val="00B618AB"/>
    <w:rsid w:val="00B6543C"/>
    <w:rsid w:val="00B7096B"/>
    <w:rsid w:val="00B721F7"/>
    <w:rsid w:val="00B740A0"/>
    <w:rsid w:val="00B81887"/>
    <w:rsid w:val="00B838E5"/>
    <w:rsid w:val="00B85082"/>
    <w:rsid w:val="00B90111"/>
    <w:rsid w:val="00B9071E"/>
    <w:rsid w:val="00B9131C"/>
    <w:rsid w:val="00B938A4"/>
    <w:rsid w:val="00BA0D8B"/>
    <w:rsid w:val="00BA1225"/>
    <w:rsid w:val="00BA4B84"/>
    <w:rsid w:val="00BB103F"/>
    <w:rsid w:val="00BB147E"/>
    <w:rsid w:val="00BB4B73"/>
    <w:rsid w:val="00BB5C21"/>
    <w:rsid w:val="00BB6820"/>
    <w:rsid w:val="00BC1993"/>
    <w:rsid w:val="00BC220F"/>
    <w:rsid w:val="00BC2B24"/>
    <w:rsid w:val="00BD0EE4"/>
    <w:rsid w:val="00BD3D18"/>
    <w:rsid w:val="00BD7E84"/>
    <w:rsid w:val="00BE104D"/>
    <w:rsid w:val="00BF0BDA"/>
    <w:rsid w:val="00BF3347"/>
    <w:rsid w:val="00BF4498"/>
    <w:rsid w:val="00BF4B1B"/>
    <w:rsid w:val="00C027B1"/>
    <w:rsid w:val="00C0357C"/>
    <w:rsid w:val="00C07417"/>
    <w:rsid w:val="00C07642"/>
    <w:rsid w:val="00C1230E"/>
    <w:rsid w:val="00C14607"/>
    <w:rsid w:val="00C15BAC"/>
    <w:rsid w:val="00C2383E"/>
    <w:rsid w:val="00C245A5"/>
    <w:rsid w:val="00C2483C"/>
    <w:rsid w:val="00C31D3F"/>
    <w:rsid w:val="00C32A84"/>
    <w:rsid w:val="00C32EBE"/>
    <w:rsid w:val="00C357BE"/>
    <w:rsid w:val="00C4092F"/>
    <w:rsid w:val="00C41C68"/>
    <w:rsid w:val="00C45D2A"/>
    <w:rsid w:val="00C46EFD"/>
    <w:rsid w:val="00C513B5"/>
    <w:rsid w:val="00C519C2"/>
    <w:rsid w:val="00C529FD"/>
    <w:rsid w:val="00C558E8"/>
    <w:rsid w:val="00C6216B"/>
    <w:rsid w:val="00C626B6"/>
    <w:rsid w:val="00C6477D"/>
    <w:rsid w:val="00C65DA3"/>
    <w:rsid w:val="00C67A36"/>
    <w:rsid w:val="00C70472"/>
    <w:rsid w:val="00C70795"/>
    <w:rsid w:val="00C707A9"/>
    <w:rsid w:val="00C70C0C"/>
    <w:rsid w:val="00C70E18"/>
    <w:rsid w:val="00C82EFF"/>
    <w:rsid w:val="00C84988"/>
    <w:rsid w:val="00C97BAB"/>
    <w:rsid w:val="00CA0D03"/>
    <w:rsid w:val="00CA3B3C"/>
    <w:rsid w:val="00CA6307"/>
    <w:rsid w:val="00CB3E22"/>
    <w:rsid w:val="00CB4ADA"/>
    <w:rsid w:val="00CB6132"/>
    <w:rsid w:val="00CC26C9"/>
    <w:rsid w:val="00CC2F22"/>
    <w:rsid w:val="00CC7C89"/>
    <w:rsid w:val="00CC7DD6"/>
    <w:rsid w:val="00CD1BAE"/>
    <w:rsid w:val="00CD22EF"/>
    <w:rsid w:val="00CE0C94"/>
    <w:rsid w:val="00CE16B3"/>
    <w:rsid w:val="00CE3E64"/>
    <w:rsid w:val="00CE535D"/>
    <w:rsid w:val="00CE666D"/>
    <w:rsid w:val="00CE6CED"/>
    <w:rsid w:val="00CF0AB7"/>
    <w:rsid w:val="00CF12A9"/>
    <w:rsid w:val="00CF37DB"/>
    <w:rsid w:val="00CF4324"/>
    <w:rsid w:val="00CF59FC"/>
    <w:rsid w:val="00D04B43"/>
    <w:rsid w:val="00D10B38"/>
    <w:rsid w:val="00D12437"/>
    <w:rsid w:val="00D131FC"/>
    <w:rsid w:val="00D14D02"/>
    <w:rsid w:val="00D20311"/>
    <w:rsid w:val="00D32EE6"/>
    <w:rsid w:val="00D34E5A"/>
    <w:rsid w:val="00D40401"/>
    <w:rsid w:val="00D428A6"/>
    <w:rsid w:val="00D42C31"/>
    <w:rsid w:val="00D43208"/>
    <w:rsid w:val="00D4381E"/>
    <w:rsid w:val="00D44947"/>
    <w:rsid w:val="00D5280A"/>
    <w:rsid w:val="00D545B4"/>
    <w:rsid w:val="00D5538D"/>
    <w:rsid w:val="00D554AA"/>
    <w:rsid w:val="00D5675D"/>
    <w:rsid w:val="00D611C2"/>
    <w:rsid w:val="00D61C5F"/>
    <w:rsid w:val="00D636A9"/>
    <w:rsid w:val="00D6379A"/>
    <w:rsid w:val="00D67B04"/>
    <w:rsid w:val="00D74FE1"/>
    <w:rsid w:val="00D81BF0"/>
    <w:rsid w:val="00D81C3D"/>
    <w:rsid w:val="00D82EC5"/>
    <w:rsid w:val="00D8436B"/>
    <w:rsid w:val="00D914FF"/>
    <w:rsid w:val="00D94C72"/>
    <w:rsid w:val="00D9541F"/>
    <w:rsid w:val="00DA43AA"/>
    <w:rsid w:val="00DA4849"/>
    <w:rsid w:val="00DB3C93"/>
    <w:rsid w:val="00DB43D2"/>
    <w:rsid w:val="00DB58A2"/>
    <w:rsid w:val="00DB7DD1"/>
    <w:rsid w:val="00DC096A"/>
    <w:rsid w:val="00DC421C"/>
    <w:rsid w:val="00DC6A3B"/>
    <w:rsid w:val="00DC734B"/>
    <w:rsid w:val="00DC79CD"/>
    <w:rsid w:val="00DD4734"/>
    <w:rsid w:val="00DD6D19"/>
    <w:rsid w:val="00DE4DBD"/>
    <w:rsid w:val="00DE7E3F"/>
    <w:rsid w:val="00E03257"/>
    <w:rsid w:val="00E0390C"/>
    <w:rsid w:val="00E05B2D"/>
    <w:rsid w:val="00E23FAD"/>
    <w:rsid w:val="00E24EE3"/>
    <w:rsid w:val="00E31822"/>
    <w:rsid w:val="00E32CD4"/>
    <w:rsid w:val="00E339A2"/>
    <w:rsid w:val="00E34346"/>
    <w:rsid w:val="00E35100"/>
    <w:rsid w:val="00E36287"/>
    <w:rsid w:val="00E36BF0"/>
    <w:rsid w:val="00E36CA0"/>
    <w:rsid w:val="00E37E9F"/>
    <w:rsid w:val="00E4097E"/>
    <w:rsid w:val="00E42302"/>
    <w:rsid w:val="00E42BB7"/>
    <w:rsid w:val="00E50109"/>
    <w:rsid w:val="00E54CB7"/>
    <w:rsid w:val="00E55063"/>
    <w:rsid w:val="00E6330B"/>
    <w:rsid w:val="00E650D1"/>
    <w:rsid w:val="00E651F6"/>
    <w:rsid w:val="00E66BFB"/>
    <w:rsid w:val="00E67F63"/>
    <w:rsid w:val="00E76263"/>
    <w:rsid w:val="00E831B8"/>
    <w:rsid w:val="00E831DE"/>
    <w:rsid w:val="00E875C2"/>
    <w:rsid w:val="00E91C8E"/>
    <w:rsid w:val="00EA1257"/>
    <w:rsid w:val="00EA3864"/>
    <w:rsid w:val="00EA3EB3"/>
    <w:rsid w:val="00EA44DF"/>
    <w:rsid w:val="00EA4689"/>
    <w:rsid w:val="00EB22A3"/>
    <w:rsid w:val="00EC0892"/>
    <w:rsid w:val="00EC0AC2"/>
    <w:rsid w:val="00EC0D0E"/>
    <w:rsid w:val="00EC20A8"/>
    <w:rsid w:val="00EC36CB"/>
    <w:rsid w:val="00ED2157"/>
    <w:rsid w:val="00ED31A6"/>
    <w:rsid w:val="00ED746D"/>
    <w:rsid w:val="00EE1D10"/>
    <w:rsid w:val="00EE4001"/>
    <w:rsid w:val="00EE5185"/>
    <w:rsid w:val="00EE59A7"/>
    <w:rsid w:val="00EE5CCF"/>
    <w:rsid w:val="00EE6B71"/>
    <w:rsid w:val="00EE73B3"/>
    <w:rsid w:val="00EF2C6E"/>
    <w:rsid w:val="00EF34E9"/>
    <w:rsid w:val="00F05553"/>
    <w:rsid w:val="00F05B4A"/>
    <w:rsid w:val="00F06290"/>
    <w:rsid w:val="00F10A4E"/>
    <w:rsid w:val="00F204AC"/>
    <w:rsid w:val="00F24DC4"/>
    <w:rsid w:val="00F32006"/>
    <w:rsid w:val="00F40F34"/>
    <w:rsid w:val="00F41555"/>
    <w:rsid w:val="00F4267D"/>
    <w:rsid w:val="00F457B8"/>
    <w:rsid w:val="00F467A5"/>
    <w:rsid w:val="00F51710"/>
    <w:rsid w:val="00F54C39"/>
    <w:rsid w:val="00F57585"/>
    <w:rsid w:val="00F577BD"/>
    <w:rsid w:val="00F63AC7"/>
    <w:rsid w:val="00F65E78"/>
    <w:rsid w:val="00F6605E"/>
    <w:rsid w:val="00F665EB"/>
    <w:rsid w:val="00F7027B"/>
    <w:rsid w:val="00F71817"/>
    <w:rsid w:val="00F737D4"/>
    <w:rsid w:val="00F74697"/>
    <w:rsid w:val="00F76FF4"/>
    <w:rsid w:val="00F772AD"/>
    <w:rsid w:val="00F85E21"/>
    <w:rsid w:val="00F94926"/>
    <w:rsid w:val="00F95AEF"/>
    <w:rsid w:val="00F95E23"/>
    <w:rsid w:val="00FA3E0D"/>
    <w:rsid w:val="00FA671F"/>
    <w:rsid w:val="00FA77B7"/>
    <w:rsid w:val="00FA7F9D"/>
    <w:rsid w:val="00FB0218"/>
    <w:rsid w:val="00FB08FC"/>
    <w:rsid w:val="00FB1415"/>
    <w:rsid w:val="00FB430F"/>
    <w:rsid w:val="00FC0D91"/>
    <w:rsid w:val="00FC28B5"/>
    <w:rsid w:val="00FC328D"/>
    <w:rsid w:val="00FC56BD"/>
    <w:rsid w:val="00FC5DE6"/>
    <w:rsid w:val="00FC66B1"/>
    <w:rsid w:val="00FC74AE"/>
    <w:rsid w:val="00FD1A40"/>
    <w:rsid w:val="00FD7E59"/>
    <w:rsid w:val="00FE4123"/>
    <w:rsid w:val="00FE7954"/>
    <w:rsid w:val="00FF22B0"/>
    <w:rsid w:val="32091786"/>
    <w:rsid w:val="324D45C6"/>
    <w:rsid w:val="32D43B64"/>
    <w:rsid w:val="49FA416C"/>
    <w:rsid w:val="4ACF710E"/>
    <w:rsid w:val="4C0C711E"/>
    <w:rsid w:val="59B3553A"/>
    <w:rsid w:val="5A2455D3"/>
    <w:rsid w:val="5D30477A"/>
    <w:rsid w:val="62DE4D8D"/>
    <w:rsid w:val="6BAA28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link w:val="41"/>
    <w:unhideWhenUsed/>
    <w:qFormat/>
    <w:uiPriority w:val="9"/>
    <w:pPr>
      <w:keepNext/>
      <w:keepLines/>
      <w:spacing w:before="260" w:after="260" w:line="416" w:lineRule="auto"/>
      <w:outlineLvl w:val="2"/>
    </w:pPr>
    <w:rPr>
      <w:b/>
      <w:bCs/>
      <w:szCs w:val="32"/>
    </w:rPr>
  </w:style>
  <w:style w:type="character" w:default="1" w:styleId="24">
    <w:name w:val="Default Paragraph Font"/>
    <w:semiHidden/>
    <w:unhideWhenUsed/>
    <w:uiPriority w:val="1"/>
  </w:style>
  <w:style w:type="table" w:default="1" w:styleId="22">
    <w:name w:val="Normal Table"/>
    <w:semiHidden/>
    <w:unhideWhenUsed/>
    <w:uiPriority w:val="99"/>
    <w:tblPr>
      <w:tblLayout w:type="fixed"/>
      <w:tblCellMar>
        <w:top w:w="0" w:type="dxa"/>
        <w:left w:w="108" w:type="dxa"/>
        <w:bottom w:w="0" w:type="dxa"/>
        <w:right w:w="108" w:type="dxa"/>
      </w:tblCellMar>
    </w:tblPr>
  </w:style>
  <w:style w:type="paragraph" w:styleId="5">
    <w:name w:val="toc 7"/>
    <w:basedOn w:val="1"/>
    <w:next w:val="1"/>
    <w:unhideWhenUsed/>
    <w:qFormat/>
    <w:uiPriority w:val="39"/>
    <w:pPr>
      <w:ind w:left="1920"/>
      <w:jc w:val="left"/>
    </w:pPr>
    <w:rPr>
      <w:rFonts w:asciiTheme="minorHAnsi" w:eastAsiaTheme="minorHAnsi"/>
      <w:sz w:val="18"/>
      <w:szCs w:val="18"/>
    </w:rPr>
  </w:style>
  <w:style w:type="paragraph" w:styleId="6">
    <w:name w:val="Document Map"/>
    <w:basedOn w:val="1"/>
    <w:link w:val="56"/>
    <w:semiHidden/>
    <w:unhideWhenUsed/>
    <w:qFormat/>
    <w:uiPriority w:val="99"/>
    <w:rPr>
      <w:rFonts w:ascii="宋体" w:eastAsia="宋体"/>
      <w:sz w:val="18"/>
      <w:szCs w:val="18"/>
    </w:rPr>
  </w:style>
  <w:style w:type="paragraph" w:styleId="7">
    <w:name w:val="annotation text"/>
    <w:basedOn w:val="1"/>
    <w:link w:val="50"/>
    <w:unhideWhenUsed/>
    <w:qFormat/>
    <w:uiPriority w:val="99"/>
    <w:pPr>
      <w:jc w:val="left"/>
    </w:pPr>
  </w:style>
  <w:style w:type="paragraph" w:styleId="8">
    <w:name w:val="toc 5"/>
    <w:basedOn w:val="1"/>
    <w:next w:val="1"/>
    <w:unhideWhenUsed/>
    <w:uiPriority w:val="39"/>
    <w:pPr>
      <w:ind w:left="1280"/>
      <w:jc w:val="left"/>
    </w:pPr>
    <w:rPr>
      <w:rFonts w:asciiTheme="minorHAnsi" w:eastAsiaTheme="minorHAnsi"/>
      <w:sz w:val="18"/>
      <w:szCs w:val="18"/>
    </w:rPr>
  </w:style>
  <w:style w:type="paragraph" w:styleId="9">
    <w:name w:val="toc 3"/>
    <w:basedOn w:val="1"/>
    <w:next w:val="1"/>
    <w:unhideWhenUsed/>
    <w:qFormat/>
    <w:uiPriority w:val="39"/>
    <w:pPr>
      <w:ind w:left="640"/>
      <w:jc w:val="left"/>
    </w:pPr>
    <w:rPr>
      <w:rFonts w:asciiTheme="minorHAnsi" w:eastAsiaTheme="minorHAnsi"/>
      <w:i/>
      <w:iCs/>
      <w:sz w:val="20"/>
    </w:rPr>
  </w:style>
  <w:style w:type="paragraph" w:styleId="10">
    <w:name w:val="toc 8"/>
    <w:basedOn w:val="1"/>
    <w:next w:val="1"/>
    <w:unhideWhenUsed/>
    <w:uiPriority w:val="39"/>
    <w:pPr>
      <w:ind w:left="2240"/>
      <w:jc w:val="left"/>
    </w:pPr>
    <w:rPr>
      <w:rFonts w:asciiTheme="minorHAnsi" w:eastAsiaTheme="minorHAnsi"/>
      <w:sz w:val="18"/>
      <w:szCs w:val="18"/>
    </w:rPr>
  </w:style>
  <w:style w:type="paragraph" w:styleId="11">
    <w:name w:val="Balloon Text"/>
    <w:basedOn w:val="1"/>
    <w:link w:val="49"/>
    <w:unhideWhenUsed/>
    <w:uiPriority w:val="99"/>
    <w:rPr>
      <w:sz w:val="18"/>
      <w:szCs w:val="18"/>
    </w:rPr>
  </w:style>
  <w:style w:type="paragraph" w:styleId="12">
    <w:name w:val="footer"/>
    <w:basedOn w:val="1"/>
    <w:link w:val="34"/>
    <w:unhideWhenUsed/>
    <w:qFormat/>
    <w:uiPriority w:val="99"/>
    <w:pPr>
      <w:tabs>
        <w:tab w:val="center" w:pos="4153"/>
        <w:tab w:val="right" w:pos="8306"/>
      </w:tabs>
      <w:snapToGrid w:val="0"/>
      <w:jc w:val="left"/>
    </w:pPr>
    <w:rPr>
      <w:sz w:val="18"/>
      <w:szCs w:val="18"/>
    </w:rPr>
  </w:style>
  <w:style w:type="paragraph" w:styleId="13">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spacing w:before="120" w:after="120"/>
      <w:jc w:val="left"/>
    </w:pPr>
    <w:rPr>
      <w:rFonts w:asciiTheme="minorHAnsi" w:eastAsiaTheme="minorHAnsi"/>
      <w:b/>
      <w:bCs/>
      <w:caps/>
      <w:sz w:val="20"/>
    </w:rPr>
  </w:style>
  <w:style w:type="paragraph" w:styleId="15">
    <w:name w:val="toc 4"/>
    <w:basedOn w:val="1"/>
    <w:next w:val="1"/>
    <w:unhideWhenUsed/>
    <w:qFormat/>
    <w:uiPriority w:val="39"/>
    <w:pPr>
      <w:ind w:left="960"/>
      <w:jc w:val="left"/>
    </w:pPr>
    <w:rPr>
      <w:rFonts w:asciiTheme="minorHAnsi" w:eastAsiaTheme="minorHAnsi"/>
      <w:sz w:val="18"/>
      <w:szCs w:val="18"/>
    </w:rPr>
  </w:style>
  <w:style w:type="paragraph" w:styleId="16">
    <w:name w:val="Subtitle"/>
    <w:basedOn w:val="1"/>
    <w:next w:val="1"/>
    <w:link w:val="42"/>
    <w:qFormat/>
    <w:uiPriority w:val="11"/>
    <w:pPr>
      <w:spacing w:before="240" w:after="60" w:line="312" w:lineRule="auto"/>
      <w:jc w:val="center"/>
      <w:outlineLvl w:val="1"/>
    </w:pPr>
    <w:rPr>
      <w:rFonts w:asciiTheme="minorHAnsi" w:hAnsiTheme="minorHAnsi" w:eastAsiaTheme="minorEastAsia" w:cstheme="minorBidi"/>
      <w:b/>
      <w:bCs/>
      <w:kern w:val="28"/>
      <w:szCs w:val="32"/>
    </w:rPr>
  </w:style>
  <w:style w:type="paragraph" w:styleId="17">
    <w:name w:val="toc 6"/>
    <w:basedOn w:val="1"/>
    <w:next w:val="1"/>
    <w:unhideWhenUsed/>
    <w:uiPriority w:val="39"/>
    <w:pPr>
      <w:ind w:left="1600"/>
      <w:jc w:val="left"/>
    </w:pPr>
    <w:rPr>
      <w:rFonts w:asciiTheme="minorHAnsi" w:eastAsiaTheme="minorHAnsi"/>
      <w:sz w:val="18"/>
      <w:szCs w:val="18"/>
    </w:rPr>
  </w:style>
  <w:style w:type="paragraph" w:styleId="18">
    <w:name w:val="toc 2"/>
    <w:basedOn w:val="1"/>
    <w:next w:val="1"/>
    <w:unhideWhenUsed/>
    <w:uiPriority w:val="39"/>
    <w:pPr>
      <w:ind w:left="320"/>
      <w:jc w:val="left"/>
    </w:pPr>
    <w:rPr>
      <w:rFonts w:asciiTheme="minorHAnsi" w:eastAsiaTheme="minorHAnsi"/>
      <w:smallCaps/>
      <w:sz w:val="20"/>
    </w:rPr>
  </w:style>
  <w:style w:type="paragraph" w:styleId="19">
    <w:name w:val="toc 9"/>
    <w:basedOn w:val="1"/>
    <w:next w:val="1"/>
    <w:unhideWhenUsed/>
    <w:uiPriority w:val="39"/>
    <w:pPr>
      <w:ind w:left="2560"/>
      <w:jc w:val="left"/>
    </w:pPr>
    <w:rPr>
      <w:rFonts w:asciiTheme="minorHAnsi" w:eastAsiaTheme="minorHAnsi"/>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1">
    <w:name w:val="annotation subject"/>
    <w:basedOn w:val="7"/>
    <w:next w:val="7"/>
    <w:link w:val="51"/>
    <w:unhideWhenUsed/>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5">
    <w:name w:val="Strong"/>
    <w:basedOn w:val="24"/>
    <w:qFormat/>
    <w:uiPriority w:val="22"/>
    <w:rPr>
      <w:b/>
      <w:bCs/>
    </w:rPr>
  </w:style>
  <w:style w:type="character" w:styleId="26">
    <w:name w:val="Hyperlink"/>
    <w:basedOn w:val="24"/>
    <w:unhideWhenUsed/>
    <w:qFormat/>
    <w:uiPriority w:val="99"/>
    <w:rPr>
      <w:color w:val="0563C1" w:themeColor="hyperlink"/>
      <w:u w:val="single"/>
      <w14:textFill>
        <w14:solidFill>
          <w14:schemeClr w14:val="hlink"/>
        </w14:solidFill>
      </w14:textFill>
    </w:rPr>
  </w:style>
  <w:style w:type="character" w:styleId="27">
    <w:name w:val="annotation reference"/>
    <w:basedOn w:val="24"/>
    <w:unhideWhenUsed/>
    <w:qFormat/>
    <w:uiPriority w:val="99"/>
    <w:rPr>
      <w:sz w:val="21"/>
      <w:szCs w:val="21"/>
    </w:rPr>
  </w:style>
  <w:style w:type="paragraph" w:customStyle="1" w:styleId="28">
    <w:name w:val="一级目标"/>
    <w:link w:val="30"/>
    <w:qFormat/>
    <w:uiPriority w:val="0"/>
    <w:pPr>
      <w:numPr>
        <w:ilvl w:val="0"/>
        <w:numId w:val="1"/>
      </w:numPr>
      <w:spacing w:line="480" w:lineRule="exact"/>
    </w:pPr>
    <w:rPr>
      <w:rFonts w:ascii="仿宋_GB2312" w:hAnsi="Times New Roman" w:eastAsia="黑体" w:cs="Times New Roman"/>
      <w:b/>
      <w:bCs/>
      <w:kern w:val="44"/>
      <w:sz w:val="30"/>
      <w:szCs w:val="30"/>
      <w:lang w:val="en-US" w:eastAsia="zh-CN" w:bidi="ar-SA"/>
    </w:rPr>
  </w:style>
  <w:style w:type="paragraph" w:customStyle="1" w:styleId="29">
    <w:name w:val="列出段落1"/>
    <w:basedOn w:val="1"/>
    <w:qFormat/>
    <w:uiPriority w:val="34"/>
    <w:pPr>
      <w:ind w:firstLine="420" w:firstLineChars="200"/>
    </w:pPr>
  </w:style>
  <w:style w:type="character" w:customStyle="1" w:styleId="30">
    <w:name w:val="一级目标 字符"/>
    <w:basedOn w:val="24"/>
    <w:link w:val="28"/>
    <w:qFormat/>
    <w:uiPriority w:val="0"/>
    <w:rPr>
      <w:rFonts w:ascii="仿宋_GB2312" w:eastAsia="黑体"/>
      <w:b/>
      <w:bCs/>
      <w:kern w:val="44"/>
      <w:sz w:val="30"/>
      <w:szCs w:val="30"/>
    </w:rPr>
  </w:style>
  <w:style w:type="paragraph" w:customStyle="1" w:styleId="31">
    <w:name w:val="二级目录"/>
    <w:basedOn w:val="28"/>
    <w:link w:val="32"/>
    <w:qFormat/>
    <w:uiPriority w:val="0"/>
    <w:pPr>
      <w:numPr>
        <w:numId w:val="2"/>
      </w:numPr>
    </w:pPr>
    <w:rPr>
      <w:rFonts w:ascii="Times New Roman" w:eastAsia="楷体"/>
      <w:bCs w:val="0"/>
      <w:kern w:val="2"/>
      <w:szCs w:val="24"/>
    </w:rPr>
  </w:style>
  <w:style w:type="character" w:customStyle="1" w:styleId="32">
    <w:name w:val="二级目录 字符"/>
    <w:basedOn w:val="30"/>
    <w:link w:val="31"/>
    <w:qFormat/>
    <w:uiPriority w:val="0"/>
    <w:rPr>
      <w:rFonts w:ascii="仿宋_GB2312" w:eastAsia="楷体"/>
      <w:kern w:val="2"/>
      <w:sz w:val="30"/>
      <w:szCs w:val="24"/>
    </w:rPr>
  </w:style>
  <w:style w:type="character" w:customStyle="1" w:styleId="33">
    <w:name w:val="页眉 Char"/>
    <w:basedOn w:val="24"/>
    <w:link w:val="13"/>
    <w:qFormat/>
    <w:uiPriority w:val="99"/>
    <w:rPr>
      <w:rFonts w:ascii="Times New Roman" w:hAnsi="Times New Roman" w:eastAsia="仿宋_GB2312" w:cs="Times New Roman"/>
      <w:sz w:val="18"/>
      <w:szCs w:val="18"/>
    </w:rPr>
  </w:style>
  <w:style w:type="character" w:customStyle="1" w:styleId="34">
    <w:name w:val="页脚 Char"/>
    <w:basedOn w:val="24"/>
    <w:link w:val="12"/>
    <w:qFormat/>
    <w:uiPriority w:val="99"/>
    <w:rPr>
      <w:rFonts w:ascii="Times New Roman" w:hAnsi="Times New Roman" w:eastAsia="仿宋_GB2312" w:cs="Times New Roman"/>
      <w:sz w:val="18"/>
      <w:szCs w:val="18"/>
    </w:rPr>
  </w:style>
  <w:style w:type="paragraph" w:customStyle="1" w:styleId="35">
    <w:name w:val="样式3"/>
    <w:basedOn w:val="1"/>
    <w:link w:val="36"/>
    <w:qFormat/>
    <w:uiPriority w:val="0"/>
    <w:pPr>
      <w:spacing w:line="360" w:lineRule="auto"/>
    </w:pPr>
    <w:rPr>
      <w:rFonts w:ascii="宋体" w:hAnsi="宋体" w:eastAsia="宋体"/>
      <w:b/>
      <w:sz w:val="24"/>
      <w:szCs w:val="21"/>
    </w:rPr>
  </w:style>
  <w:style w:type="character" w:customStyle="1" w:styleId="36">
    <w:name w:val="样式3 字符"/>
    <w:link w:val="35"/>
    <w:qFormat/>
    <w:uiPriority w:val="0"/>
    <w:rPr>
      <w:rFonts w:ascii="宋体" w:hAnsi="宋体" w:eastAsia="宋体" w:cs="Times New Roman"/>
      <w:b/>
      <w:sz w:val="24"/>
      <w:szCs w:val="21"/>
    </w:rPr>
  </w:style>
  <w:style w:type="paragraph" w:customStyle="1" w:styleId="37">
    <w:name w:val="指南正文"/>
    <w:basedOn w:val="1"/>
    <w:qFormat/>
    <w:uiPriority w:val="0"/>
    <w:pPr>
      <w:numPr>
        <w:ilvl w:val="0"/>
        <w:numId w:val="3"/>
      </w:numPr>
      <w:spacing w:line="360" w:lineRule="auto"/>
      <w:jc w:val="left"/>
    </w:pPr>
    <w:rPr>
      <w:rFonts w:eastAsia="仿宋" w:asciiTheme="minorEastAsia" w:hAnsiTheme="minorEastAsia" w:cstheme="minorBidi"/>
      <w:sz w:val="24"/>
      <w:szCs w:val="24"/>
    </w:rPr>
  </w:style>
  <w:style w:type="paragraph" w:customStyle="1" w:styleId="38">
    <w:name w:val="样式2"/>
    <w:basedOn w:val="3"/>
    <w:link w:val="39"/>
    <w:qFormat/>
    <w:uiPriority w:val="0"/>
    <w:rPr>
      <w:sz w:val="30"/>
    </w:rPr>
  </w:style>
  <w:style w:type="character" w:customStyle="1" w:styleId="39">
    <w:name w:val="样式2 字符"/>
    <w:basedOn w:val="40"/>
    <w:link w:val="38"/>
    <w:qFormat/>
    <w:uiPriority w:val="0"/>
    <w:rPr>
      <w:rFonts w:asciiTheme="majorHAnsi" w:hAnsiTheme="majorHAnsi" w:eastAsiaTheme="majorEastAsia" w:cstheme="majorBidi"/>
      <w:sz w:val="30"/>
      <w:szCs w:val="32"/>
    </w:rPr>
  </w:style>
  <w:style w:type="character" w:customStyle="1" w:styleId="40">
    <w:name w:val="标题 2 Char"/>
    <w:basedOn w:val="24"/>
    <w:link w:val="3"/>
    <w:qFormat/>
    <w:uiPriority w:val="9"/>
    <w:rPr>
      <w:rFonts w:asciiTheme="majorHAnsi" w:hAnsiTheme="majorHAnsi" w:eastAsiaTheme="majorEastAsia" w:cstheme="majorBidi"/>
      <w:b/>
      <w:bCs/>
      <w:sz w:val="32"/>
      <w:szCs w:val="32"/>
    </w:rPr>
  </w:style>
  <w:style w:type="character" w:customStyle="1" w:styleId="41">
    <w:name w:val="标题 3 Char"/>
    <w:basedOn w:val="24"/>
    <w:link w:val="4"/>
    <w:qFormat/>
    <w:uiPriority w:val="9"/>
    <w:rPr>
      <w:rFonts w:ascii="Times New Roman" w:hAnsi="Times New Roman" w:eastAsia="仿宋_GB2312" w:cs="Times New Roman"/>
      <w:b/>
      <w:bCs/>
      <w:sz w:val="32"/>
      <w:szCs w:val="32"/>
    </w:rPr>
  </w:style>
  <w:style w:type="character" w:customStyle="1" w:styleId="42">
    <w:name w:val="副标题 Char"/>
    <w:basedOn w:val="24"/>
    <w:link w:val="16"/>
    <w:qFormat/>
    <w:uiPriority w:val="11"/>
    <w:rPr>
      <w:b/>
      <w:bCs/>
      <w:kern w:val="28"/>
      <w:sz w:val="32"/>
      <w:szCs w:val="32"/>
    </w:rPr>
  </w:style>
  <w:style w:type="paragraph" w:customStyle="1" w:styleId="43">
    <w:name w:val="无间隔1"/>
    <w:link w:val="48"/>
    <w:qFormat/>
    <w:uiPriority w:val="1"/>
    <w:pPr>
      <w:widowControl w:val="0"/>
      <w:jc w:val="both"/>
    </w:pPr>
    <w:rPr>
      <w:rFonts w:ascii="Times New Roman" w:hAnsi="Times New Roman" w:eastAsia="仿宋_GB2312" w:cs="Times New Roman"/>
      <w:kern w:val="2"/>
      <w:sz w:val="32"/>
      <w:lang w:val="en-US" w:eastAsia="zh-CN" w:bidi="ar-SA"/>
    </w:rPr>
  </w:style>
  <w:style w:type="character" w:customStyle="1" w:styleId="44">
    <w:name w:val="标题 1 Char"/>
    <w:basedOn w:val="24"/>
    <w:link w:val="2"/>
    <w:qFormat/>
    <w:uiPriority w:val="9"/>
    <w:rPr>
      <w:rFonts w:ascii="Times New Roman" w:hAnsi="Times New Roman" w:eastAsia="仿宋_GB2312" w:cs="Times New Roman"/>
      <w:b/>
      <w:bCs/>
      <w:kern w:val="44"/>
      <w:sz w:val="44"/>
      <w:szCs w:val="44"/>
    </w:rPr>
  </w:style>
  <w:style w:type="paragraph" w:customStyle="1" w:styleId="45">
    <w:name w:val="三级目录"/>
    <w:basedOn w:val="1"/>
    <w:link w:val="47"/>
    <w:qFormat/>
    <w:uiPriority w:val="0"/>
    <w:pPr>
      <w:spacing w:line="360" w:lineRule="auto"/>
      <w:jc w:val="left"/>
    </w:pPr>
    <w:rPr>
      <w:rFonts w:ascii="仿宋_GB2312"/>
      <w:sz w:val="24"/>
      <w:szCs w:val="24"/>
    </w:rPr>
  </w:style>
  <w:style w:type="paragraph" w:customStyle="1" w:styleId="4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7">
    <w:name w:val="三级目录 字符"/>
    <w:basedOn w:val="24"/>
    <w:link w:val="45"/>
    <w:qFormat/>
    <w:uiPriority w:val="0"/>
    <w:rPr>
      <w:rFonts w:ascii="仿宋_GB2312" w:hAnsi="Times New Roman" w:eastAsia="仿宋_GB2312" w:cs="Times New Roman"/>
      <w:sz w:val="24"/>
      <w:szCs w:val="24"/>
    </w:rPr>
  </w:style>
  <w:style w:type="character" w:customStyle="1" w:styleId="48">
    <w:name w:val="无间隔 字符"/>
    <w:basedOn w:val="24"/>
    <w:link w:val="43"/>
    <w:qFormat/>
    <w:uiPriority w:val="1"/>
    <w:rPr>
      <w:rFonts w:ascii="Times New Roman" w:hAnsi="Times New Roman" w:eastAsia="仿宋_GB2312" w:cs="Times New Roman"/>
      <w:sz w:val="32"/>
      <w:szCs w:val="20"/>
    </w:rPr>
  </w:style>
  <w:style w:type="character" w:customStyle="1" w:styleId="49">
    <w:name w:val="批注框文本 Char"/>
    <w:basedOn w:val="24"/>
    <w:link w:val="11"/>
    <w:semiHidden/>
    <w:qFormat/>
    <w:uiPriority w:val="99"/>
    <w:rPr>
      <w:rFonts w:ascii="Times New Roman" w:hAnsi="Times New Roman" w:eastAsia="仿宋_GB2312" w:cs="Times New Roman"/>
      <w:sz w:val="18"/>
      <w:szCs w:val="18"/>
    </w:rPr>
  </w:style>
  <w:style w:type="character" w:customStyle="1" w:styleId="50">
    <w:name w:val="批注文字 Char"/>
    <w:basedOn w:val="24"/>
    <w:link w:val="7"/>
    <w:qFormat/>
    <w:uiPriority w:val="99"/>
    <w:rPr>
      <w:rFonts w:ascii="Times New Roman" w:hAnsi="Times New Roman" w:eastAsia="仿宋_GB2312" w:cs="Times New Roman"/>
      <w:sz w:val="32"/>
      <w:szCs w:val="20"/>
    </w:rPr>
  </w:style>
  <w:style w:type="character" w:customStyle="1" w:styleId="51">
    <w:name w:val="批注主题 Char"/>
    <w:basedOn w:val="50"/>
    <w:link w:val="21"/>
    <w:semiHidden/>
    <w:qFormat/>
    <w:uiPriority w:val="99"/>
    <w:rPr>
      <w:rFonts w:ascii="Times New Roman" w:hAnsi="Times New Roman" w:eastAsia="仿宋_GB2312" w:cs="Times New Roman"/>
      <w:b/>
      <w:bCs/>
      <w:sz w:val="32"/>
      <w:szCs w:val="20"/>
    </w:rPr>
  </w:style>
  <w:style w:type="paragraph" w:customStyle="1" w:styleId="52">
    <w:name w:val="_Style 2"/>
    <w:basedOn w:val="1"/>
    <w:qFormat/>
    <w:uiPriority w:val="34"/>
    <w:pPr>
      <w:ind w:firstLine="420" w:firstLineChars="200"/>
    </w:pPr>
    <w:rPr>
      <w:rFonts w:ascii="Calibri" w:hAnsi="Calibri" w:eastAsia="宋体"/>
      <w:sz w:val="21"/>
      <w:szCs w:val="24"/>
    </w:rPr>
  </w:style>
  <w:style w:type="paragraph" w:styleId="53">
    <w:name w:val="List Paragraph"/>
    <w:basedOn w:val="1"/>
    <w:qFormat/>
    <w:uiPriority w:val="99"/>
    <w:pPr>
      <w:ind w:firstLine="420" w:firstLineChars="200"/>
    </w:pPr>
  </w:style>
  <w:style w:type="paragraph" w:customStyle="1" w:styleId="54">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5">
    <w:name w:val="Revision"/>
    <w:hidden/>
    <w:semiHidden/>
    <w:qFormat/>
    <w:uiPriority w:val="99"/>
    <w:rPr>
      <w:rFonts w:ascii="Times New Roman" w:hAnsi="Times New Roman" w:eastAsia="仿宋_GB2312" w:cs="Times New Roman"/>
      <w:kern w:val="2"/>
      <w:sz w:val="32"/>
      <w:lang w:val="en-US" w:eastAsia="zh-CN" w:bidi="ar-SA"/>
    </w:rPr>
  </w:style>
  <w:style w:type="character" w:customStyle="1" w:styleId="56">
    <w:name w:val="文档结构图 Char"/>
    <w:basedOn w:val="24"/>
    <w:link w:val="6"/>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footer" Target="footer2.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er" Target="footer1.xml"/><Relationship Id="rId29" Type="http://schemas.openxmlformats.org/officeDocument/2006/relationships/image" Target="media/image18.png"/><Relationship Id="rId28" Type="http://schemas.openxmlformats.org/officeDocument/2006/relationships/chart" Target="charts/chart5.xml"/><Relationship Id="rId27" Type="http://schemas.openxmlformats.org/officeDocument/2006/relationships/chart" Target="charts/chart4.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chart" Target="charts/chart3.xml"/><Relationship Id="rId23" Type="http://schemas.openxmlformats.org/officeDocument/2006/relationships/chart" Target="charts/chart2.xml"/><Relationship Id="rId22" Type="http://schemas.openxmlformats.org/officeDocument/2006/relationships/chart" Target="charts/chart1.xml"/><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列1</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其他（电商、网商等）</c:v>
                </c:pt>
                <c:pt idx="1">
                  <c:v>安全与防损</c:v>
                </c:pt>
                <c:pt idx="2">
                  <c:v>信息管理</c:v>
                </c:pt>
                <c:pt idx="3">
                  <c:v>客户服务</c:v>
                </c:pt>
                <c:pt idx="4">
                  <c:v>连锁拓展</c:v>
                </c:pt>
                <c:pt idx="5">
                  <c:v>商品采购</c:v>
                </c:pt>
                <c:pt idx="6">
                  <c:v>营销企划</c:v>
                </c:pt>
                <c:pt idx="7">
                  <c:v>总部管理</c:v>
                </c:pt>
                <c:pt idx="8">
                  <c:v>运营督导</c:v>
                </c:pt>
                <c:pt idx="9">
                  <c:v>门店店长</c:v>
                </c:pt>
              </c:strCache>
            </c:strRef>
          </c:cat>
          <c:val>
            <c:numRef>
              <c:f>Sheet1!$B$2:$B$11</c:f>
              <c:numCache>
                <c:formatCode>0%</c:formatCode>
                <c:ptCount val="10"/>
                <c:pt idx="0">
                  <c:v>0.2</c:v>
                </c:pt>
                <c:pt idx="1">
                  <c:v>0.4</c:v>
                </c:pt>
                <c:pt idx="2">
                  <c:v>0.320000000000001</c:v>
                </c:pt>
                <c:pt idx="3">
                  <c:v>0.48</c:v>
                </c:pt>
                <c:pt idx="4">
                  <c:v>0.44</c:v>
                </c:pt>
                <c:pt idx="5">
                  <c:v>0.760000000000002</c:v>
                </c:pt>
                <c:pt idx="6">
                  <c:v>0.28</c:v>
                </c:pt>
                <c:pt idx="7">
                  <c:v>0.600000000000001</c:v>
                </c:pt>
                <c:pt idx="8">
                  <c:v>0.720000000000001</c:v>
                </c:pt>
                <c:pt idx="9">
                  <c:v>0.88</c:v>
                </c:pt>
              </c:numCache>
            </c:numRef>
          </c:val>
        </c:ser>
        <c:dLbls>
          <c:showLegendKey val="0"/>
          <c:showVal val="0"/>
          <c:showCatName val="0"/>
          <c:showSerName val="0"/>
          <c:showPercent val="0"/>
          <c:showBubbleSize val="0"/>
        </c:dLbls>
        <c:gapWidth val="150"/>
        <c:axId val="430292488"/>
        <c:axId val="430292880"/>
      </c:barChart>
      <c:catAx>
        <c:axId val="430292488"/>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0292880"/>
        <c:crosses val="autoZero"/>
        <c:auto val="1"/>
        <c:lblAlgn val="ctr"/>
        <c:lblOffset val="100"/>
        <c:noMultiLvlLbl val="0"/>
      </c:catAx>
      <c:valAx>
        <c:axId val="430292880"/>
        <c:scaling>
          <c:orientation val="minMax"/>
        </c:scaling>
        <c:delete val="0"/>
        <c:axPos val="b"/>
        <c:majorGridlines/>
        <c:numFmt formatCode="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0292488"/>
        <c:crosses val="autoZero"/>
        <c:crossBetween val="between"/>
      </c:valAx>
    </c:plotArea>
    <c:plotVisOnly val="1"/>
    <c:dispBlanksAs val="gap"/>
    <c:showDLblsOverMax val="0"/>
  </c:chart>
  <c:spPr>
    <a:ln w="6350"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数量</c:v>
                </c:pt>
              </c:strCache>
            </c:strRef>
          </c:tx>
          <c:spPr>
            <a:solidFill>
              <a:schemeClr val="accent1">
                <a:alpha val="70000"/>
              </a:schemeClr>
            </a:solidFill>
            <a:ln>
              <a:noFill/>
            </a:ln>
            <a:effectLst/>
          </c:spPr>
          <c:invertIfNegative val="0"/>
          <c:dLbls>
            <c:delete val="1"/>
          </c:dLbls>
          <c:cat>
            <c:strRef>
              <c:f>Sheet1!$A$2:$A$10</c:f>
              <c:strCache>
                <c:ptCount val="9"/>
                <c:pt idx="0">
                  <c:v>沟通能力（资料阅读、文件读写、口头表达、人际交往）</c:v>
                </c:pt>
                <c:pt idx="1">
                  <c:v>职业道德（忠于职守、服从调度、遵守制度）</c:v>
                </c:pt>
                <c:pt idx="2">
                  <c:v>团队意识（与他人合作、帮助他人、听取意见）</c:v>
                </c:pt>
                <c:pt idx="3">
                  <c:v>职业态度（爱岗敬业、吃苦耐劳、无私奉献、主动学习、追求上进）</c:v>
                </c:pt>
                <c:pt idx="4">
                  <c:v>专业知识（了解行业、熟悉产品、专业技能）</c:v>
                </c:pt>
                <c:pt idx="5">
                  <c:v>创新能力（业务革新、合理化建议、创造性工作）</c:v>
                </c:pt>
                <c:pt idx="6">
                  <c:v>情绪控制（乐观向上、自我调试、抗压抗挫）</c:v>
                </c:pt>
                <c:pt idx="7">
                  <c:v>管理能力（时间管理、组织管理、分析决策、执行力）</c:v>
                </c:pt>
                <c:pt idx="8">
                  <c:v>职业资格证书（拥有与岗位相关的职业资格证书）</c:v>
                </c:pt>
              </c:strCache>
            </c:strRef>
          </c:cat>
          <c:val>
            <c:numRef>
              <c:f>Sheet1!$B$2:$B$10</c:f>
              <c:numCache>
                <c:formatCode>General</c:formatCode>
                <c:ptCount val="9"/>
                <c:pt idx="0">
                  <c:v>69</c:v>
                </c:pt>
                <c:pt idx="1">
                  <c:v>54</c:v>
                </c:pt>
                <c:pt idx="2">
                  <c:v>49</c:v>
                </c:pt>
                <c:pt idx="3">
                  <c:v>47</c:v>
                </c:pt>
                <c:pt idx="4">
                  <c:v>38</c:v>
                </c:pt>
                <c:pt idx="5">
                  <c:v>30</c:v>
                </c:pt>
                <c:pt idx="6">
                  <c:v>28</c:v>
                </c:pt>
                <c:pt idx="7">
                  <c:v>25</c:v>
                </c:pt>
                <c:pt idx="8">
                  <c:v>12</c:v>
                </c:pt>
              </c:numCache>
            </c:numRef>
          </c:val>
        </c:ser>
        <c:ser>
          <c:idx val="1"/>
          <c:order val="1"/>
          <c:tx>
            <c:strRef>
              <c:f>Sheet1!$C$1</c:f>
              <c:strCache>
                <c:ptCount val="1"/>
                <c:pt idx="0">
                  <c:v>比例</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Sheet1!$A$2:$A$10</c:f>
              <c:strCache>
                <c:ptCount val="9"/>
                <c:pt idx="0">
                  <c:v>沟通能力（资料阅读、文件读写、口头表达、人际交往）</c:v>
                </c:pt>
                <c:pt idx="1">
                  <c:v>职业道德（忠于职守、服从调度、遵守制度）</c:v>
                </c:pt>
                <c:pt idx="2">
                  <c:v>团队意识（与他人合作、帮助他人、听取意见）</c:v>
                </c:pt>
                <c:pt idx="3">
                  <c:v>职业态度（爱岗敬业、吃苦耐劳、无私奉献、主动学习、追求上进）</c:v>
                </c:pt>
                <c:pt idx="4">
                  <c:v>专业知识（了解行业、熟悉产品、专业技能）</c:v>
                </c:pt>
                <c:pt idx="5">
                  <c:v>创新能力（业务革新、合理化建议、创造性工作）</c:v>
                </c:pt>
                <c:pt idx="6">
                  <c:v>情绪控制（乐观向上、自我调试、抗压抗挫）</c:v>
                </c:pt>
                <c:pt idx="7">
                  <c:v>管理能力（时间管理、组织管理、分析决策、执行力）</c:v>
                </c:pt>
                <c:pt idx="8">
                  <c:v>职业资格证书（拥有与岗位相关的职业资格证书）</c:v>
                </c:pt>
              </c:strCache>
            </c:strRef>
          </c:cat>
          <c:val>
            <c:numRef>
              <c:f>Sheet1!$C$2:$C$10</c:f>
              <c:numCache>
                <c:formatCode>0.00%</c:formatCode>
                <c:ptCount val="9"/>
                <c:pt idx="0">
                  <c:v>0.958333333333334</c:v>
                </c:pt>
                <c:pt idx="1">
                  <c:v>0.750000000000001</c:v>
                </c:pt>
                <c:pt idx="2">
                  <c:v>0.680555555555556</c:v>
                </c:pt>
                <c:pt idx="3">
                  <c:v>0.652777777777778</c:v>
                </c:pt>
                <c:pt idx="4">
                  <c:v>0.527777777777778</c:v>
                </c:pt>
                <c:pt idx="5">
                  <c:v>0.416666666666667</c:v>
                </c:pt>
                <c:pt idx="6">
                  <c:v>0.38888888888889</c:v>
                </c:pt>
                <c:pt idx="7">
                  <c:v>0.347222222222222</c:v>
                </c:pt>
                <c:pt idx="8">
                  <c:v>0.166666666666667</c:v>
                </c:pt>
              </c:numCache>
            </c:numRef>
          </c:val>
        </c:ser>
        <c:dLbls>
          <c:showLegendKey val="0"/>
          <c:showVal val="1"/>
          <c:showCatName val="0"/>
          <c:showSerName val="0"/>
          <c:showPercent val="0"/>
          <c:showBubbleSize val="0"/>
        </c:dLbls>
        <c:gapWidth val="50"/>
        <c:overlap val="100"/>
        <c:axId val="430293664"/>
        <c:axId val="430294056"/>
      </c:barChart>
      <c:catAx>
        <c:axId val="430293664"/>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prstDash val="solid"/>
            <a:round/>
            <a:headEnd type="none" w="sm" len="sm"/>
            <a:tailEnd type="none" w="sm" len="sm"/>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0294056"/>
        <c:crosses val="autoZero"/>
        <c:auto val="1"/>
        <c:lblAlgn val="ctr"/>
        <c:lblOffset val="100"/>
        <c:noMultiLvlLbl val="0"/>
      </c:catAx>
      <c:valAx>
        <c:axId val="430294056"/>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prstDash val="solid"/>
              <a:round/>
            </a:ln>
            <a:effectLst/>
          </c:spPr>
        </c:majorGridlines>
        <c:numFmt formatCode="General" sourceLinked="1"/>
        <c:majorTickMark val="none"/>
        <c:minorTickMark val="none"/>
        <c:tickLblPos val="high"/>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0293664"/>
        <c:crosses val="autoZero"/>
        <c:crossBetween val="between"/>
      </c:valAx>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Sheet1!$B$1</c:f>
              <c:strCache>
                <c:ptCount val="1"/>
                <c:pt idx="0">
                  <c:v>数量</c:v>
                </c:pt>
              </c:strCache>
            </c:strRef>
          </c:tx>
          <c:spPr>
            <a:solidFill>
              <a:schemeClr val="accent1">
                <a:alpha val="70000"/>
              </a:schemeClr>
            </a:solidFill>
            <a:ln>
              <a:noFill/>
            </a:ln>
            <a:effectLst/>
          </c:spPr>
          <c:invertIfNegative val="0"/>
          <c:dLbls>
            <c:delete val="1"/>
          </c:dLbls>
          <c:cat>
            <c:strRef>
              <c:f>Sheet1!$A$2:$A$11</c:f>
              <c:strCache>
                <c:ptCount val="10"/>
                <c:pt idx="0">
                  <c:v>数据分析能力差</c:v>
                </c:pt>
                <c:pt idx="1">
                  <c:v>沟通能力弱</c:v>
                </c:pt>
                <c:pt idx="2">
                  <c:v>情绪控制与心理抗压能力差</c:v>
                </c:pt>
                <c:pt idx="3">
                  <c:v>缺乏创新工作的方式方法</c:v>
                </c:pt>
                <c:pt idx="4">
                  <c:v>理论与实践脱节，动手能力差</c:v>
                </c:pt>
                <c:pt idx="5">
                  <c:v>团队合作能力差</c:v>
                </c:pt>
                <c:pt idx="6">
                  <c:v>互联网思维与新媒体技术应用能力差</c:v>
                </c:pt>
                <c:pt idx="7">
                  <c:v>缺乏职业道德</c:v>
                </c:pt>
                <c:pt idx="8">
                  <c:v>缺乏组织管理能力</c:v>
                </c:pt>
                <c:pt idx="9">
                  <c:v>其他</c:v>
                </c:pt>
              </c:strCache>
            </c:strRef>
          </c:cat>
          <c:val>
            <c:numRef>
              <c:f>Sheet1!$B$2:$B$11</c:f>
              <c:numCache>
                <c:formatCode>General</c:formatCode>
                <c:ptCount val="10"/>
                <c:pt idx="0">
                  <c:v>52</c:v>
                </c:pt>
                <c:pt idx="1">
                  <c:v>50</c:v>
                </c:pt>
                <c:pt idx="2">
                  <c:v>45</c:v>
                </c:pt>
                <c:pt idx="3">
                  <c:v>35</c:v>
                </c:pt>
                <c:pt idx="4">
                  <c:v>34</c:v>
                </c:pt>
                <c:pt idx="5">
                  <c:v>28</c:v>
                </c:pt>
                <c:pt idx="6">
                  <c:v>24</c:v>
                </c:pt>
                <c:pt idx="7">
                  <c:v>20</c:v>
                </c:pt>
                <c:pt idx="8">
                  <c:v>15</c:v>
                </c:pt>
                <c:pt idx="9">
                  <c:v>8</c:v>
                </c:pt>
              </c:numCache>
            </c:numRef>
          </c:val>
        </c:ser>
        <c:ser>
          <c:idx val="1"/>
          <c:order val="1"/>
          <c:tx>
            <c:strRef>
              <c:f>Sheet1!$C$1</c:f>
              <c:strCache>
                <c:ptCount val="1"/>
                <c:pt idx="0">
                  <c:v>比例</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Sheet1!$A$2:$A$11</c:f>
              <c:strCache>
                <c:ptCount val="10"/>
                <c:pt idx="0">
                  <c:v>数据分析能力差</c:v>
                </c:pt>
                <c:pt idx="1">
                  <c:v>沟通能力弱</c:v>
                </c:pt>
                <c:pt idx="2">
                  <c:v>情绪控制与心理抗压能力差</c:v>
                </c:pt>
                <c:pt idx="3">
                  <c:v>缺乏创新工作的方式方法</c:v>
                </c:pt>
                <c:pt idx="4">
                  <c:v>理论与实践脱节，动手能力差</c:v>
                </c:pt>
                <c:pt idx="5">
                  <c:v>团队合作能力差</c:v>
                </c:pt>
                <c:pt idx="6">
                  <c:v>互联网思维与新媒体技术应用能力差</c:v>
                </c:pt>
                <c:pt idx="7">
                  <c:v>缺乏职业道德</c:v>
                </c:pt>
                <c:pt idx="8">
                  <c:v>缺乏组织管理能力</c:v>
                </c:pt>
                <c:pt idx="9">
                  <c:v>其他</c:v>
                </c:pt>
              </c:strCache>
            </c:strRef>
          </c:cat>
          <c:val>
            <c:numRef>
              <c:f>Sheet1!$C$2:$C$11</c:f>
              <c:numCache>
                <c:formatCode>0.00%</c:formatCode>
                <c:ptCount val="10"/>
                <c:pt idx="0">
                  <c:v>0.722222222222222</c:v>
                </c:pt>
                <c:pt idx="1">
                  <c:v>0.694444444444445</c:v>
                </c:pt>
                <c:pt idx="2">
                  <c:v>0.625000000000001</c:v>
                </c:pt>
                <c:pt idx="3">
                  <c:v>0.486111111111111</c:v>
                </c:pt>
                <c:pt idx="4">
                  <c:v>0.472222222222222</c:v>
                </c:pt>
                <c:pt idx="5">
                  <c:v>0.38888888888889</c:v>
                </c:pt>
                <c:pt idx="6">
                  <c:v>0.333333333333333</c:v>
                </c:pt>
                <c:pt idx="7">
                  <c:v>0.277777777777778</c:v>
                </c:pt>
                <c:pt idx="8">
                  <c:v>0.208333333333334</c:v>
                </c:pt>
                <c:pt idx="9">
                  <c:v>0.111111111111111</c:v>
                </c:pt>
              </c:numCache>
            </c:numRef>
          </c:val>
        </c:ser>
        <c:dLbls>
          <c:showLegendKey val="0"/>
          <c:showVal val="0"/>
          <c:showCatName val="0"/>
          <c:showSerName val="0"/>
          <c:showPercent val="0"/>
          <c:showBubbleSize val="0"/>
        </c:dLbls>
        <c:gapWidth val="50"/>
        <c:overlap val="100"/>
        <c:axId val="430294840"/>
        <c:axId val="430295232"/>
      </c:barChart>
      <c:catAx>
        <c:axId val="430294840"/>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prstDash val="solid"/>
            <a:round/>
            <a:headEnd type="none" w="sm" len="sm"/>
            <a:tailEnd type="none" w="sm" len="sm"/>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0295232"/>
        <c:crosses val="autoZero"/>
        <c:auto val="1"/>
        <c:lblAlgn val="ctr"/>
        <c:lblOffset val="100"/>
        <c:noMultiLvlLbl val="0"/>
      </c:catAx>
      <c:valAx>
        <c:axId val="430295232"/>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prstDash val="solid"/>
              <a:round/>
            </a:ln>
            <a:effectLst/>
          </c:spPr>
        </c:majorGridlines>
        <c:numFmt formatCode="General" sourceLinked="1"/>
        <c:majorTickMark val="none"/>
        <c:minorTickMark val="none"/>
        <c:tickLblPos val="high"/>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0294840"/>
        <c:crosses val="autoZero"/>
        <c:crossBetween val="between"/>
      </c:valAx>
      <c:spPr>
        <a:noFill/>
        <a:ln>
          <a:noFill/>
        </a:ln>
        <a:effectLst/>
      </c:spPr>
    </c:plotArea>
    <c:plotVisOnly val="1"/>
    <c:dispBlanksAs val="gap"/>
    <c:showDLblsOverMax val="0"/>
  </c:chart>
  <c:spPr>
    <a:noFill/>
    <a:ln w="9525" cap="flat" cmpd="sng" algn="ctr">
      <a:no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Lbls>
            <c:delete val="1"/>
          </c:dLbls>
          <c:cat>
            <c:strRef>
              <c:f>Sheet1!$A$2:$A$33</c:f>
              <c:strCache>
                <c:ptCount val="32"/>
                <c:pt idx="0">
                  <c:v>连锁经营管理</c:v>
                </c:pt>
                <c:pt idx="1">
                  <c:v>市场营销</c:v>
                </c:pt>
                <c:pt idx="2">
                  <c:v>经济法</c:v>
                </c:pt>
                <c:pt idx="3">
                  <c:v>连锁门店岗位基础技能模块</c:v>
                </c:pt>
                <c:pt idx="4">
                  <c:v>经济学基础</c:v>
                </c:pt>
                <c:pt idx="5">
                  <c:v>管理学基础</c:v>
                </c:pt>
                <c:pt idx="6">
                  <c:v>零售概论</c:v>
                </c:pt>
                <c:pt idx="7">
                  <c:v>商业文化</c:v>
                </c:pt>
                <c:pt idx="8">
                  <c:v>推销与谈判</c:v>
                </c:pt>
                <c:pt idx="9">
                  <c:v>商务礼仪</c:v>
                </c:pt>
                <c:pt idx="10">
                  <c:v>品类管理</c:v>
                </c:pt>
                <c:pt idx="11">
                  <c:v>市场调研</c:v>
                </c:pt>
                <c:pt idx="12">
                  <c:v>连锁企业信息管理</c:v>
                </c:pt>
                <c:pt idx="13">
                  <c:v>电子商务</c:v>
                </c:pt>
                <c:pt idx="14">
                  <c:v>基础会计</c:v>
                </c:pt>
                <c:pt idx="15">
                  <c:v>收银</c:v>
                </c:pt>
                <c:pt idx="16">
                  <c:v>基础管理与职业素养</c:v>
                </c:pt>
                <c:pt idx="17">
                  <c:v>消费心理学</c:v>
                </c:pt>
                <c:pt idx="18">
                  <c:v>物流管理</c:v>
                </c:pt>
                <c:pt idx="19">
                  <c:v>应用统计</c:v>
                </c:pt>
                <c:pt idx="20">
                  <c:v>商业计划制定</c:v>
                </c:pt>
                <c:pt idx="21">
                  <c:v>商品学</c:v>
                </c:pt>
                <c:pt idx="22">
                  <c:v>消费行为分析</c:v>
                </c:pt>
                <c:pt idx="23">
                  <c:v>门店营运管理</c:v>
                </c:pt>
                <c:pt idx="24">
                  <c:v>连锁配送管理</c:v>
                </c:pt>
                <c:pt idx="25">
                  <c:v>商圈调研</c:v>
                </c:pt>
                <c:pt idx="26">
                  <c:v>大数据分析</c:v>
                </c:pt>
                <c:pt idx="27">
                  <c:v>人力资源管理</c:v>
                </c:pt>
                <c:pt idx="28">
                  <c:v>商用心理学</c:v>
                </c:pt>
                <c:pt idx="29">
                  <c:v>企业文化</c:v>
                </c:pt>
                <c:pt idx="30">
                  <c:v>广告管理</c:v>
                </c:pt>
                <c:pt idx="31">
                  <c:v>客户服务管理</c:v>
                </c:pt>
              </c:strCache>
            </c:strRef>
          </c:cat>
          <c:val>
            <c:numRef>
              <c:f>Sheet1!$B$2:$B$33</c:f>
              <c:numCache>
                <c:formatCode>General</c:formatCode>
                <c:ptCount val="32"/>
                <c:pt idx="0">
                  <c:v>15</c:v>
                </c:pt>
                <c:pt idx="1">
                  <c:v>17</c:v>
                </c:pt>
                <c:pt idx="2">
                  <c:v>4</c:v>
                </c:pt>
                <c:pt idx="3">
                  <c:v>1</c:v>
                </c:pt>
                <c:pt idx="4">
                  <c:v>10</c:v>
                </c:pt>
                <c:pt idx="5">
                  <c:v>17</c:v>
                </c:pt>
                <c:pt idx="6">
                  <c:v>2</c:v>
                </c:pt>
                <c:pt idx="7">
                  <c:v>1</c:v>
                </c:pt>
                <c:pt idx="8">
                  <c:v>1</c:v>
                </c:pt>
                <c:pt idx="9">
                  <c:v>3</c:v>
                </c:pt>
                <c:pt idx="10">
                  <c:v>1</c:v>
                </c:pt>
                <c:pt idx="11">
                  <c:v>2</c:v>
                </c:pt>
                <c:pt idx="12">
                  <c:v>2</c:v>
                </c:pt>
                <c:pt idx="13">
                  <c:v>6</c:v>
                </c:pt>
                <c:pt idx="14">
                  <c:v>7</c:v>
                </c:pt>
                <c:pt idx="15">
                  <c:v>1</c:v>
                </c:pt>
                <c:pt idx="16">
                  <c:v>1</c:v>
                </c:pt>
                <c:pt idx="17">
                  <c:v>3</c:v>
                </c:pt>
                <c:pt idx="18">
                  <c:v>1</c:v>
                </c:pt>
                <c:pt idx="19">
                  <c:v>2</c:v>
                </c:pt>
                <c:pt idx="20">
                  <c:v>1</c:v>
                </c:pt>
                <c:pt idx="21">
                  <c:v>3</c:v>
                </c:pt>
                <c:pt idx="22">
                  <c:v>1</c:v>
                </c:pt>
                <c:pt idx="23">
                  <c:v>1</c:v>
                </c:pt>
                <c:pt idx="24">
                  <c:v>1</c:v>
                </c:pt>
                <c:pt idx="25">
                  <c:v>1</c:v>
                </c:pt>
                <c:pt idx="26">
                  <c:v>1</c:v>
                </c:pt>
                <c:pt idx="27">
                  <c:v>1</c:v>
                </c:pt>
                <c:pt idx="28">
                  <c:v>1</c:v>
                </c:pt>
                <c:pt idx="29">
                  <c:v>1</c:v>
                </c:pt>
                <c:pt idx="30">
                  <c:v>1</c:v>
                </c:pt>
                <c:pt idx="31">
                  <c:v>1</c:v>
                </c:pt>
              </c:numCache>
            </c:numRef>
          </c:val>
        </c:ser>
        <c:dLbls>
          <c:showLegendKey val="0"/>
          <c:showVal val="0"/>
          <c:showCatName val="0"/>
          <c:showSerName val="0"/>
          <c:showPercent val="0"/>
          <c:showBubbleSize val="0"/>
        </c:dLbls>
        <c:gapWidth val="150"/>
        <c:axId val="421201720"/>
        <c:axId val="421202112"/>
      </c:barChart>
      <c:catAx>
        <c:axId val="421201720"/>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zh-CN" sz="800" b="0" i="0" u="none" strike="noStrike" kern="1200" baseline="0">
                <a:solidFill>
                  <a:schemeClr val="tx1"/>
                </a:solidFill>
                <a:latin typeface="仿宋_GB2312" pitchFamily="3" charset="-122"/>
                <a:ea typeface="仿宋_GB2312" pitchFamily="3" charset="-122"/>
                <a:cs typeface="+mn-cs"/>
              </a:defRPr>
            </a:pPr>
          </a:p>
        </c:txPr>
        <c:crossAx val="421202112"/>
        <c:crosses val="autoZero"/>
        <c:auto val="1"/>
        <c:lblAlgn val="ctr"/>
        <c:lblOffset val="100"/>
        <c:noMultiLvlLbl val="0"/>
      </c:catAx>
      <c:valAx>
        <c:axId val="4212021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1201720"/>
        <c:crosses val="autoZero"/>
        <c:crossBetween val="between"/>
      </c:valAx>
      <c:spPr>
        <a:noFill/>
        <a:ln w="25400">
          <a:noFill/>
        </a:ln>
      </c:spPr>
    </c:plotArea>
    <c:plotVisOnly val="1"/>
    <c:dispBlanksAs val="gap"/>
    <c:showDLblsOverMax val="0"/>
  </c:chart>
  <c:spPr>
    <a:ln w="6350" cap="flat" cmpd="sng" algn="ctr">
      <a:no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Lbls>
            <c:delete val="1"/>
          </c:dLbls>
          <c:cat>
            <c:strRef>
              <c:f>Sheet2!$A$2:$A$29</c:f>
              <c:strCache>
                <c:ptCount val="28"/>
                <c:pt idx="0">
                  <c:v>品类管理</c:v>
                </c:pt>
                <c:pt idx="1">
                  <c:v>连锁门店营运实务</c:v>
                </c:pt>
                <c:pt idx="2">
                  <c:v>连锁企业采购管理</c:v>
                </c:pt>
                <c:pt idx="3">
                  <c:v>连锁门店开发与设计</c:v>
                </c:pt>
                <c:pt idx="4">
                  <c:v>客户服务</c:v>
                </c:pt>
                <c:pt idx="5">
                  <c:v>连锁企业仓储与配送管理</c:v>
                </c:pt>
                <c:pt idx="6">
                  <c:v>特许经营实务</c:v>
                </c:pt>
                <c:pt idx="7">
                  <c:v>连锁门店促销管理</c:v>
                </c:pt>
                <c:pt idx="8">
                  <c:v>零售数据分析与应用</c:v>
                </c:pt>
                <c:pt idx="9">
                  <c:v>连锁企业人力资源管理</c:v>
                </c:pt>
                <c:pt idx="10">
                  <c:v>商品学</c:v>
                </c:pt>
                <c:pt idx="11">
                  <c:v>会计基础</c:v>
                </c:pt>
                <c:pt idx="12">
                  <c:v>连锁企业信息管理</c:v>
                </c:pt>
                <c:pt idx="13">
                  <c:v>连锁店长管理实务</c:v>
                </c:pt>
                <c:pt idx="14">
                  <c:v>卖场布局与商品陈列</c:v>
                </c:pt>
                <c:pt idx="15">
                  <c:v>推销技术与谈判技巧</c:v>
                </c:pt>
                <c:pt idx="16">
                  <c:v>连锁经营原理</c:v>
                </c:pt>
                <c:pt idx="17">
                  <c:v>网店运营</c:v>
                </c:pt>
                <c:pt idx="18">
                  <c:v>品牌管理</c:v>
                </c:pt>
                <c:pt idx="19">
                  <c:v>零售业英语</c:v>
                </c:pt>
                <c:pt idx="20">
                  <c:v>商业空间设计</c:v>
                </c:pt>
                <c:pt idx="21">
                  <c:v>连锁经营综合实训</c:v>
                </c:pt>
                <c:pt idx="22">
                  <c:v>企业岗位跟岗训练</c:v>
                </c:pt>
                <c:pt idx="23">
                  <c:v>零售技术</c:v>
                </c:pt>
                <c:pt idx="24">
                  <c:v>创业与加盟</c:v>
                </c:pt>
                <c:pt idx="25">
                  <c:v>市场营销</c:v>
                </c:pt>
                <c:pt idx="26">
                  <c:v>电子商务</c:v>
                </c:pt>
                <c:pt idx="27">
                  <c:v>消费心理学</c:v>
                </c:pt>
              </c:strCache>
            </c:strRef>
          </c:cat>
          <c:val>
            <c:numRef>
              <c:f>Sheet2!$B$2:$B$29</c:f>
              <c:numCache>
                <c:formatCode>General</c:formatCode>
                <c:ptCount val="28"/>
                <c:pt idx="0">
                  <c:v>19</c:v>
                </c:pt>
                <c:pt idx="1">
                  <c:v>18</c:v>
                </c:pt>
                <c:pt idx="2">
                  <c:v>10</c:v>
                </c:pt>
                <c:pt idx="3">
                  <c:v>10</c:v>
                </c:pt>
                <c:pt idx="4">
                  <c:v>8</c:v>
                </c:pt>
                <c:pt idx="5">
                  <c:v>8</c:v>
                </c:pt>
                <c:pt idx="6">
                  <c:v>8</c:v>
                </c:pt>
                <c:pt idx="7">
                  <c:v>8</c:v>
                </c:pt>
                <c:pt idx="8">
                  <c:v>7</c:v>
                </c:pt>
                <c:pt idx="9">
                  <c:v>6</c:v>
                </c:pt>
                <c:pt idx="10">
                  <c:v>5</c:v>
                </c:pt>
                <c:pt idx="11">
                  <c:v>4</c:v>
                </c:pt>
                <c:pt idx="12">
                  <c:v>3</c:v>
                </c:pt>
                <c:pt idx="13">
                  <c:v>3</c:v>
                </c:pt>
                <c:pt idx="14">
                  <c:v>3</c:v>
                </c:pt>
                <c:pt idx="15">
                  <c:v>3</c:v>
                </c:pt>
                <c:pt idx="16">
                  <c:v>2</c:v>
                </c:pt>
                <c:pt idx="17">
                  <c:v>2</c:v>
                </c:pt>
                <c:pt idx="18">
                  <c:v>1</c:v>
                </c:pt>
                <c:pt idx="19">
                  <c:v>1</c:v>
                </c:pt>
                <c:pt idx="20">
                  <c:v>1</c:v>
                </c:pt>
                <c:pt idx="21">
                  <c:v>1</c:v>
                </c:pt>
                <c:pt idx="22">
                  <c:v>1</c:v>
                </c:pt>
                <c:pt idx="23">
                  <c:v>1</c:v>
                </c:pt>
                <c:pt idx="24">
                  <c:v>1</c:v>
                </c:pt>
                <c:pt idx="25">
                  <c:v>1</c:v>
                </c:pt>
                <c:pt idx="26">
                  <c:v>1</c:v>
                </c:pt>
                <c:pt idx="27">
                  <c:v>1</c:v>
                </c:pt>
              </c:numCache>
            </c:numRef>
          </c:val>
        </c:ser>
        <c:dLbls>
          <c:showLegendKey val="0"/>
          <c:showVal val="0"/>
          <c:showCatName val="0"/>
          <c:showSerName val="0"/>
          <c:showPercent val="0"/>
          <c:showBubbleSize val="0"/>
        </c:dLbls>
        <c:gapWidth val="150"/>
        <c:axId val="421202504"/>
        <c:axId val="421202896"/>
      </c:barChart>
      <c:catAx>
        <c:axId val="421202504"/>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zh-CN" sz="1100" b="0" i="0" u="none" strike="noStrike" kern="1200" baseline="30000">
                <a:solidFill>
                  <a:schemeClr val="tx1"/>
                </a:solidFill>
                <a:latin typeface="仿宋_GB2312" pitchFamily="3" charset="-122"/>
                <a:ea typeface="仿宋_GB2312" pitchFamily="3" charset="-122"/>
                <a:cs typeface="+mn-cs"/>
              </a:defRPr>
            </a:pPr>
          </a:p>
        </c:txPr>
        <c:crossAx val="421202896"/>
        <c:crosses val="autoZero"/>
        <c:auto val="1"/>
        <c:lblAlgn val="ctr"/>
        <c:lblOffset val="100"/>
        <c:noMultiLvlLbl val="0"/>
      </c:catAx>
      <c:valAx>
        <c:axId val="42120289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21202504"/>
        <c:crosses val="autoZero"/>
        <c:crossBetween val="between"/>
      </c:valAx>
    </c:plotArea>
    <c:plotVisOnly val="1"/>
    <c:dispBlanksAs val="gap"/>
    <c:showDLblsOverMax val="0"/>
  </c:chart>
  <c:spPr>
    <a:ln w="6350" cap="flat" cmpd="sng" algn="ctr">
      <a:no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061AA-3DF6-423B-B7D9-CB2E9D95D361}">
  <ds:schemaRefs/>
</ds:datastoreItem>
</file>

<file path=docProps/app.xml><?xml version="1.0" encoding="utf-8"?>
<Properties xmlns="http://schemas.openxmlformats.org/officeDocument/2006/extended-properties" xmlns:vt="http://schemas.openxmlformats.org/officeDocument/2006/docPropsVTypes">
  <Template>Normal</Template>
  <Pages>26</Pages>
  <Words>1715</Words>
  <Characters>9782</Characters>
  <Lines>81</Lines>
  <Paragraphs>22</Paragraphs>
  <TotalTime>77</TotalTime>
  <ScaleCrop>false</ScaleCrop>
  <LinksUpToDate>false</LinksUpToDate>
  <CharactersWithSpaces>11475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2017-12-19T08:03:00Z</dcterms:created>
  <dc:creator>赵雨</dc:creator>
  <cp:lastModifiedBy>Summer1403119806</cp:lastModifiedBy>
  <dcterms:modified xsi:type="dcterms:W3CDTF">2019-09-08T11:08:15Z</dcterms:modified>
  <dc:title>网络营销专业调研报告</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-1779001601</vt:i4>
  </property>
  <property fmtid="{D5CDD505-2E9C-101B-9397-08002B2CF9AE}" pid="3" name="KSOProductBuildVer">
    <vt:lpwstr>2052-11.1.0.8976</vt:lpwstr>
  </property>
</Properties>
</file>